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1199"/>
      </w:tblGrid>
      <w:tr w:rsidR="00906864" w:rsidTr="00F17589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F17589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F17589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F17589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F17589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F17589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F17589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F17589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F17589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F17589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F17589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F17589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F17589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F17589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F17589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F17589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462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4"/>
              <w:gridCol w:w="4486"/>
              <w:gridCol w:w="1874"/>
              <w:gridCol w:w="3229"/>
            </w:tblGrid>
            <w:tr w:rsidR="00906864" w:rsidRPr="007367EB" w:rsidTr="00F17589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906864" w:rsidRPr="0036178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</w:t>
                  </w:r>
                  <w:proofErr w:type="spellStart"/>
                  <w:r w:rsidRPr="00361789">
                    <w:rPr>
                      <w:rFonts w:cs="Zanest _ Govar"/>
                      <w:sz w:val="32"/>
                      <w:szCs w:val="32"/>
                    </w:rPr>
                    <w:t>c.v</w:t>
                  </w:r>
                  <w:proofErr w:type="spellEnd"/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) </w:t>
                  </w:r>
                </w:p>
                <w:p w:rsidR="00906864" w:rsidRPr="0036178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36178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proofErr w:type="spellStart"/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proofErr w:type="spellEnd"/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906864" w:rsidRPr="007367EB" w:rsidTr="00F17589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906864" w:rsidRPr="00361789" w:rsidRDefault="00906864" w:rsidP="00F17589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906864" w:rsidRPr="0036178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 ضارقولى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B14A6A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B14A6A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مؤيد اغالي ميرزا 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78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 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B14A6A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B14A6A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بغداد 1974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B14A6A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B14A6A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عراقية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رةطةز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B14A6A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B14A6A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ذكر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78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CF3DF2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متزوج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764F3D" w:rsidP="00CF3DF2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C13, </w:t>
                  </w:r>
                  <w:proofErr w:type="spellStart"/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Avrocity</w:t>
                  </w:r>
                  <w:proofErr w:type="spellEnd"/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Duhok</w:t>
                  </w:r>
                  <w:proofErr w:type="spellEnd"/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78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 ئةلكترونى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BE0AA9" w:rsidP="004B528F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  <w:lang w:bidi="ar-IQ"/>
                    </w:rPr>
                    <w:t>muayad.merza.uod.ac</w:t>
                  </w:r>
                  <w:r w:rsidR="00906864" w:rsidRPr="00B14A6A">
                    <w:rPr>
                      <w:rFonts w:asciiTheme="majorBidi" w:hAnsiTheme="majorBidi" w:cstheme="majorBidi"/>
                      <w:sz w:val="20"/>
                      <w:szCs w:val="20"/>
                      <w:lang w:bidi="ar-IQ"/>
                    </w:rPr>
                    <w:t xml:space="preserve">                                                 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B14A6A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IQ"/>
                    </w:rPr>
                    <w:t>07504506172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78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ذمارا ناسناما بارىَ كةسايةتى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764F3D" w:rsidP="00764F3D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00712287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 عيراقى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764F3D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0340939</w:t>
                  </w:r>
                </w:p>
              </w:tc>
            </w:tr>
            <w:tr w:rsidR="00906864" w:rsidRPr="007367EB" w:rsidTr="00B14A6A">
              <w:trPr>
                <w:gridBefore w:val="1"/>
                <w:wBefore w:w="34" w:type="dxa"/>
                <w:trHeight w:val="392"/>
              </w:trPr>
              <w:tc>
                <w:tcPr>
                  <w:tcW w:w="4486" w:type="dxa"/>
                  <w:shd w:val="clear" w:color="auto" w:fill="FFFFFF"/>
                </w:tcPr>
                <w:p w:rsidR="00906864" w:rsidRPr="008E0513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ماموستايان</w:t>
                  </w:r>
                  <w:r w:rsidRPr="008E0513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:rsidR="00906864" w:rsidRPr="00B14A6A" w:rsidRDefault="00764F3D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  <w:lang w:bidi="ar-IQ"/>
                    </w:rPr>
                    <w:t>T1130</w:t>
                  </w:r>
                </w:p>
              </w:tc>
            </w:tr>
            <w:tr w:rsidR="00906864" w:rsidRPr="007367EB" w:rsidTr="00F17589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906864" w:rsidRPr="005D5E68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906864" w:rsidRPr="007367E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F17589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906864" w:rsidRPr="007D51E0" w:rsidRDefault="00906864" w:rsidP="00AF0D8A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 w:rsidRPr="007D51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2E89">
                    <w:rPr>
                      <w:sz w:val="20"/>
                      <w:szCs w:val="20"/>
                    </w:rPr>
                    <w:t>Muayad</w:t>
                  </w:r>
                  <w:proofErr w:type="spellEnd"/>
                  <w:r w:rsidR="00612E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2E89">
                    <w:rPr>
                      <w:sz w:val="20"/>
                      <w:szCs w:val="20"/>
                    </w:rPr>
                    <w:t>Aghali</w:t>
                  </w:r>
                  <w:proofErr w:type="spellEnd"/>
                  <w:r w:rsidR="00612E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2E89">
                    <w:rPr>
                      <w:sz w:val="20"/>
                      <w:szCs w:val="20"/>
                    </w:rPr>
                    <w:t>Merza</w:t>
                  </w:r>
                  <w:proofErr w:type="spellEnd"/>
                </w:p>
              </w:tc>
              <w:tc>
                <w:tcPr>
                  <w:tcW w:w="3229" w:type="dxa"/>
                  <w:shd w:val="clear" w:color="auto" w:fill="FFFFFF"/>
                </w:tcPr>
                <w:p w:rsidR="00906864" w:rsidRPr="007367EB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8F00EB">
                    <w:rPr>
                      <w:rFonts w:cs="Arial"/>
                      <w:sz w:val="32"/>
                      <w:szCs w:val="32"/>
                    </w:rPr>
                    <w:t>Full Name</w:t>
                  </w:r>
                  <w:proofErr w:type="gramStart"/>
                  <w:r w:rsidRPr="008F00EB">
                    <w:rPr>
                      <w:rFonts w:cs="Arial"/>
                      <w:sz w:val="32"/>
                      <w:szCs w:val="32"/>
                    </w:rPr>
                    <w:t>:</w:t>
                  </w:r>
                  <w:r w:rsidRPr="008F00EB">
                    <w:rPr>
                      <w:rFonts w:cs="Arial"/>
                      <w:b/>
                      <w:bCs/>
                      <w:szCs w:val="28"/>
                    </w:rPr>
                    <w:t>.</w:t>
                  </w:r>
                  <w:proofErr w:type="gramEnd"/>
                </w:p>
              </w:tc>
            </w:tr>
            <w:tr w:rsidR="00906864" w:rsidRPr="007367EB" w:rsidTr="00F17589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906864" w:rsidRPr="00865279" w:rsidRDefault="00906864" w:rsidP="00F17589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 w:rsidRPr="00865279">
                    <w:rPr>
                      <w:sz w:val="20"/>
                      <w:szCs w:val="20"/>
                    </w:rPr>
                    <w:t xml:space="preserve"> </w:t>
                  </w:r>
                  <w:r w:rsidR="00612E89">
                    <w:rPr>
                      <w:sz w:val="20"/>
                      <w:szCs w:val="20"/>
                    </w:rPr>
                    <w:t>Baghdad, 1974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906864" w:rsidRPr="00363BA6" w:rsidRDefault="00906864" w:rsidP="00F17589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Date and place of birth</w:t>
                  </w:r>
                </w:p>
                <w:p w:rsidR="00906864" w:rsidRPr="007367EB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F17589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906864" w:rsidRPr="00D50ED2" w:rsidRDefault="00906864" w:rsidP="00AF0D8A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  <w:p w:rsidR="00906864" w:rsidRPr="00D50ED2" w:rsidRDefault="00764F3D" w:rsidP="00F17589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A80770088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906864" w:rsidRPr="00363BA6" w:rsidRDefault="00906864" w:rsidP="00F17589">
                  <w:pPr>
                    <w:shd w:val="clear" w:color="auto" w:fill="F5F5F5"/>
                    <w:jc w:val="center"/>
                    <w:textAlignment w:val="top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Passport Number</w:t>
                  </w:r>
                </w:p>
                <w:p w:rsidR="00906864" w:rsidRPr="00363BA6" w:rsidRDefault="00906864" w:rsidP="00F17589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7367EB" w:rsidTr="00F17589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906864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906864" w:rsidRPr="007367EB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776071" w:rsidRDefault="00776071" w:rsidP="00776071">
            <w:pPr>
              <w:spacing w:before="120" w:line="360" w:lineRule="exact"/>
              <w:jc w:val="center"/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0;margin-top:0;width:115.4pt;height:112.95pt;z-index:251664384;mso-height-percent:200;mso-position-horizontal:center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776071" w:rsidRDefault="00776071" w:rsidP="00776071">
                        <w:pPr>
                          <w:bidi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33500" cy="952500"/>
                              <wp:effectExtent l="19050" t="0" r="0" b="0"/>
                              <wp:docPr id="6" name="Picture 3" descr="C:\Users\Rasan\Desktop\Dr Muayad photo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Rasan\Desktop\Dr Muayad photo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776071" w:rsidRDefault="00776071" w:rsidP="000C45B3">
            <w:pPr>
              <w:spacing w:before="120" w:line="360" w:lineRule="exact"/>
              <w:jc w:val="center"/>
            </w:pPr>
          </w:p>
          <w:p w:rsidR="00776071" w:rsidRDefault="00776071" w:rsidP="000C45B3">
            <w:pPr>
              <w:spacing w:before="120" w:line="360" w:lineRule="exact"/>
              <w:jc w:val="center"/>
            </w:pPr>
          </w:p>
          <w:p w:rsidR="00776071" w:rsidRDefault="00776071" w:rsidP="000C45B3">
            <w:pPr>
              <w:spacing w:before="120" w:line="360" w:lineRule="exact"/>
              <w:jc w:val="center"/>
            </w:pPr>
          </w:p>
          <w:p w:rsidR="00776071" w:rsidRDefault="00776071" w:rsidP="000C45B3">
            <w:pPr>
              <w:spacing w:before="120" w:line="360" w:lineRule="exact"/>
              <w:jc w:val="center"/>
            </w:pPr>
          </w:p>
          <w:p w:rsidR="00776071" w:rsidRDefault="00776071" w:rsidP="000C45B3">
            <w:pPr>
              <w:spacing w:before="120" w:line="360" w:lineRule="exact"/>
              <w:jc w:val="center"/>
            </w:pPr>
          </w:p>
        </w:tc>
      </w:tr>
      <w:tr w:rsidR="00906864" w:rsidTr="00F17589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F17589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F17589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 كوردستانىَ - عيَراق</w:t>
                  </w:r>
                </w:p>
                <w:p w:rsidR="00906864" w:rsidRPr="00392C07" w:rsidRDefault="00906864" w:rsidP="00F17589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392C07" w:rsidRDefault="00906864" w:rsidP="00F17589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392C07" w:rsidRDefault="00906864" w:rsidP="00F17589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F17589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F17589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F17589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F17589">
                  <w:pPr>
                    <w:pStyle w:val="Header"/>
                    <w:rPr>
                      <w:rFonts w:cs="Zanest _ Govar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F17589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F17589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F17589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F17589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F17589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F17589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995"/>
              <w:gridCol w:w="1980"/>
              <w:gridCol w:w="3600"/>
              <w:gridCol w:w="1260"/>
              <w:gridCol w:w="990"/>
            </w:tblGrid>
            <w:tr w:rsidR="00906864" w:rsidRPr="007367EB" w:rsidTr="00F17589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906864" w:rsidRPr="00A10266" w:rsidRDefault="00906864" w:rsidP="00F17589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 زانستى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F17589">
              <w:trPr>
                <w:trHeight w:val="392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Default="00906864" w:rsidP="00F17589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F17589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جورىَ نامىَ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 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F17589">
              <w:trPr>
                <w:trHeight w:val="392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ماستةر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(ماجستير)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A6BFF" w:rsidRDefault="002A6BFF" w:rsidP="00F1758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شيرزاد مجيد 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طاهر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0266" w:rsidRDefault="002A6BFF" w:rsidP="00F175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Validity of serum </w:t>
                  </w:r>
                  <w:proofErr w:type="spellStart"/>
                  <w:r>
                    <w:rPr>
                      <w:sz w:val="20"/>
                      <w:szCs w:val="20"/>
                    </w:rPr>
                    <w:t>HBsAg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in assessing activity of chronic hepatitis B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2A6BFF" w:rsidP="00F17589">
                  <w:pPr>
                    <w:bidi/>
                    <w:rPr>
                      <w:rFonts w:cs="Zanest _ Govar" w:hint="cs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2015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D50ED2" w:rsidRDefault="002A6BFF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دهوك</w:t>
                  </w:r>
                </w:p>
              </w:tc>
            </w:tr>
            <w:tr w:rsidR="00906864" w:rsidRPr="007367EB" w:rsidTr="00F17589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A128D2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F17589">
                  <w:pPr>
                    <w:jc w:val="both"/>
                    <w:rPr>
                      <w:rFonts w:cs="Zanest _ Govar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128D2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F17589">
              <w:trPr>
                <w:trHeight w:val="378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0E3843" w:rsidRDefault="00906864" w:rsidP="00F17589">
                  <w:pPr>
                    <w:bidi/>
                    <w:rPr>
                      <w:rFonts w:cs="Zanest _ Govar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F17589">
                  <w:pPr>
                    <w:jc w:val="both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128D2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F17589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A128D2" w:rsidRDefault="00AF0D8A" w:rsidP="00F17589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>
                    <w:rPr>
                      <w:sz w:val="20"/>
                      <w:szCs w:val="20"/>
                    </w:rPr>
                    <w:t>\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F1758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B77D2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F17589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0E3843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F1758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Default="00906864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F17589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Pr="00495705" w:rsidRDefault="00906864" w:rsidP="00F17589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(ل ووةلاتى و ل دةرظةي ووةلاتى)</w:t>
                  </w:r>
                  <w:r w:rsidRPr="00392C07">
                    <w:rPr>
                      <w:rFonts w:cs="Zanest _ Govar"/>
                      <w:szCs w:val="28"/>
                    </w:rPr>
                    <w:t>: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خوليَن وكونطريَن زانستى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F17589">
              <w:trPr>
                <w:trHeight w:val="392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ماوة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FE2BCB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FE2BCB" w:rsidRDefault="00FE2BCB" w:rsidP="001C244A">
                  <w:pPr>
                    <w:rPr>
                      <w:rFonts w:ascii="Arial" w:hAnsi="Arial" w:cs="Arial"/>
                      <w:b/>
                      <w:sz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>19-20</w:t>
                  </w:r>
                  <w:r w:rsidRPr="000C52C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 Sep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9"/>
                    </w:rPr>
                    <w:t>2012</w:t>
                  </w:r>
                  <w:r w:rsidRPr="000C52C0">
                    <w:rPr>
                      <w:rFonts w:ascii="Arial" w:hAnsi="Arial" w:cs="Arial"/>
                      <w:bCs/>
                      <w:sz w:val="19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 xml:space="preserve"> </w:t>
                  </w:r>
                  <w:proofErr w:type="spellStart"/>
                  <w:r w:rsidRPr="000C52C0">
                    <w:rPr>
                      <w:rFonts w:ascii="Arial" w:hAnsi="Arial" w:cs="Arial"/>
                      <w:bCs/>
                      <w:sz w:val="19"/>
                    </w:rPr>
                    <w:t>Duhok</w:t>
                  </w:r>
                  <w:proofErr w:type="spellEnd"/>
                  <w:proofErr w:type="gramEnd"/>
                  <w:r w:rsidRPr="000C52C0">
                    <w:rPr>
                      <w:rFonts w:ascii="Arial" w:hAnsi="Arial" w:cs="Arial"/>
                      <w:bCs/>
                      <w:sz w:val="19"/>
                    </w:rPr>
                    <w:t xml:space="preserve">-Kurdistan, the Second Scientific Conference of the Faculty of Medical Sciences, University of </w:t>
                  </w:r>
                  <w:proofErr w:type="spellStart"/>
                  <w:r w:rsidRPr="000C52C0">
                    <w:rPr>
                      <w:rFonts w:ascii="Arial" w:hAnsi="Arial" w:cs="Arial"/>
                      <w:bCs/>
                      <w:sz w:val="19"/>
                    </w:rPr>
                    <w:t>Duhok</w:t>
                  </w:r>
                  <w:proofErr w:type="spellEnd"/>
                  <w:r w:rsidRPr="000C52C0">
                    <w:rPr>
                      <w:rFonts w:ascii="Arial" w:hAnsi="Arial" w:cs="Arial"/>
                      <w:bCs/>
                      <w:sz w:val="19"/>
                    </w:rPr>
                    <w:t>.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FE2BCB" w:rsidRDefault="00FE2BCB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lang w:bidi="ar-IQ"/>
                    </w:rPr>
                  </w:pPr>
                </w:p>
              </w:tc>
            </w:tr>
            <w:tr w:rsidR="000471BB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0471BB" w:rsidRDefault="000471BB" w:rsidP="001C244A">
                  <w:pPr>
                    <w:rPr>
                      <w:rFonts w:ascii="Arial" w:hAnsi="Arial" w:cs="Arial"/>
                      <w:b/>
                      <w:sz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 xml:space="preserve">28-29 Oct 2011   </w:t>
                  </w:r>
                  <w:proofErr w:type="spellStart"/>
                  <w:r w:rsidRPr="000471BB">
                    <w:rPr>
                      <w:rFonts w:ascii="Arial" w:hAnsi="Arial" w:cs="Arial"/>
                      <w:bCs/>
                      <w:sz w:val="19"/>
                    </w:rPr>
                    <w:t>Duhok</w:t>
                  </w:r>
                  <w:proofErr w:type="spellEnd"/>
                  <w:r w:rsidRPr="000471BB">
                    <w:rPr>
                      <w:rFonts w:ascii="Arial" w:hAnsi="Arial" w:cs="Arial"/>
                      <w:bCs/>
                      <w:sz w:val="19"/>
                    </w:rPr>
                    <w:t xml:space="preserve">, Kurdistan Region, Iraq – Third </w:t>
                  </w:r>
                  <w:proofErr w:type="spellStart"/>
                  <w:r w:rsidRPr="000471BB">
                    <w:rPr>
                      <w:rFonts w:ascii="Arial" w:hAnsi="Arial" w:cs="Arial"/>
                      <w:bCs/>
                      <w:sz w:val="19"/>
                    </w:rPr>
                    <w:t>Mesopatamian</w:t>
                  </w:r>
                  <w:proofErr w:type="spellEnd"/>
                  <w:r w:rsidRPr="000471BB">
                    <w:rPr>
                      <w:rFonts w:ascii="Arial" w:hAnsi="Arial" w:cs="Arial"/>
                      <w:bCs/>
                      <w:sz w:val="19"/>
                    </w:rPr>
                    <w:t xml:space="preserve"> Health Days Congress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. Conference coordinator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0471BB" w:rsidRPr="00983D97" w:rsidRDefault="000471BB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ascii="Cambria" w:hAnsi="Cambria" w:cs="Zanest _ Govar"/>
                      <w:sz w:val="20"/>
                      <w:szCs w:val="20"/>
                      <w:lang w:bidi="ar-IQ"/>
                    </w:rPr>
                    <w:t>D</w:t>
                  </w:r>
                </w:p>
              </w:tc>
            </w:tr>
            <w:tr w:rsidR="00B03FC1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B03FC1" w:rsidRDefault="00B03FC1" w:rsidP="001C244A">
                  <w:pPr>
                    <w:rPr>
                      <w:rFonts w:ascii="Arial" w:hAnsi="Arial" w:cs="Arial"/>
                      <w:b/>
                      <w:sz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 xml:space="preserve">2-4 Feb 2011 </w:t>
                  </w:r>
                  <w:r w:rsidRPr="00B03FC1">
                    <w:rPr>
                      <w:rFonts w:ascii="Arial" w:hAnsi="Arial" w:cs="Arial"/>
                      <w:bCs/>
                      <w:sz w:val="19"/>
                    </w:rPr>
                    <w:t>Erbil, Kurdistan Region, Iraq-International Congress on Reform and Development of the Health Care System in Kurdistan Region-Iraq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. </w:t>
                  </w:r>
                  <w:r w:rsidRPr="00B03FC1">
                    <w:rPr>
                      <w:rFonts w:ascii="Arial" w:hAnsi="Arial" w:cs="Arial"/>
                      <w:bCs/>
                      <w:sz w:val="19"/>
                    </w:rPr>
                    <w:t xml:space="preserve">Conference </w:t>
                  </w:r>
                  <w:proofErr w:type="spellStart"/>
                  <w:r w:rsidRPr="00B03FC1">
                    <w:rPr>
                      <w:rFonts w:ascii="Arial" w:hAnsi="Arial" w:cs="Arial"/>
                      <w:bCs/>
                      <w:sz w:val="19"/>
                    </w:rPr>
                    <w:t>Cordinator</w:t>
                  </w:r>
                  <w:proofErr w:type="spellEnd"/>
                </w:p>
              </w:tc>
              <w:tc>
                <w:tcPr>
                  <w:tcW w:w="990" w:type="dxa"/>
                  <w:shd w:val="clear" w:color="auto" w:fill="FFFFFF"/>
                </w:tcPr>
                <w:p w:rsidR="00B03FC1" w:rsidRDefault="00B03FC1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lang w:bidi="ar-IQ"/>
                    </w:rPr>
                  </w:pPr>
                </w:p>
              </w:tc>
            </w:tr>
            <w:tr w:rsidR="00B03FC1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B03FC1" w:rsidRDefault="00B03FC1" w:rsidP="001C244A">
                  <w:pPr>
                    <w:rPr>
                      <w:rFonts w:ascii="Arial" w:hAnsi="Arial" w:cs="Arial"/>
                      <w:b/>
                      <w:sz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 xml:space="preserve">14-16 Dec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9"/>
                    </w:rPr>
                    <w:t xml:space="preserve">2010 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 xml:space="preserve"> </w:t>
                  </w:r>
                  <w:proofErr w:type="spellStart"/>
                  <w:r w:rsidRPr="00B03FC1">
                    <w:rPr>
                      <w:rFonts w:ascii="Arial" w:hAnsi="Arial" w:cs="Arial"/>
                      <w:bCs/>
                      <w:sz w:val="19"/>
                    </w:rPr>
                    <w:t>Diyarbaker</w:t>
                  </w:r>
                  <w:proofErr w:type="spellEnd"/>
                  <w:proofErr w:type="gramEnd"/>
                  <w:r w:rsidRPr="00B03FC1">
                    <w:rPr>
                      <w:rFonts w:ascii="Arial" w:hAnsi="Arial" w:cs="Arial"/>
                      <w:bCs/>
                      <w:sz w:val="19"/>
                    </w:rPr>
                    <w:t xml:space="preserve">, Turkey- Second </w:t>
                  </w:r>
                  <w:proofErr w:type="spellStart"/>
                  <w:r w:rsidRPr="00B03FC1">
                    <w:rPr>
                      <w:rFonts w:ascii="Arial" w:hAnsi="Arial" w:cs="Arial"/>
                      <w:bCs/>
                      <w:sz w:val="19"/>
                    </w:rPr>
                    <w:t>Mesopatamian</w:t>
                  </w:r>
                  <w:proofErr w:type="spellEnd"/>
                  <w:r w:rsidRPr="00B03FC1">
                    <w:rPr>
                      <w:rFonts w:ascii="Arial" w:hAnsi="Arial" w:cs="Arial"/>
                      <w:bCs/>
                      <w:sz w:val="19"/>
                    </w:rPr>
                    <w:t xml:space="preserve"> Health Days Congress.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B03FC1" w:rsidRDefault="00B03FC1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 xml:space="preserve">11-15 Nov 2010            </w:t>
                  </w:r>
                  <w:r w:rsidRPr="00835907">
                    <w:rPr>
                      <w:rFonts w:ascii="Arial" w:hAnsi="Arial" w:cs="Arial"/>
                      <w:bCs/>
                      <w:sz w:val="19"/>
                    </w:rPr>
                    <w:t>Berlin-Germany, 41 Union world conference on lung health – International Union Against Tuberculosis and Lung Disease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0A31BE" w:rsidRDefault="000A31BE" w:rsidP="001C244A">
                  <w:pPr>
                    <w:shd w:val="clear" w:color="auto" w:fill="FFFFFF"/>
                    <w:rPr>
                      <w:rFonts w:ascii="Arial" w:hAnsi="Arial" w:cs="Arial"/>
                      <w:bCs/>
                      <w:sz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>5-8</w:t>
                  </w:r>
                  <w:r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 xml:space="preserve">th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Jul 2009         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Porto-Portugal, 30</w:t>
                  </w:r>
                  <w:r>
                    <w:rPr>
                      <w:rFonts w:ascii="Arial" w:hAnsi="Arial" w:cs="Arial"/>
                      <w:bCs/>
                      <w:sz w:val="19"/>
                      <w:vertAlign w:val="superscript"/>
                    </w:rPr>
                    <w:t xml:space="preserve">th 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 xml:space="preserve">Annual Congress - European Society of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9"/>
                    </w:rPr>
                    <w:t>Mycobacteriology</w:t>
                  </w:r>
                  <w:proofErr w:type="spellEnd"/>
                </w:p>
                <w:p w:rsidR="000A31BE" w:rsidRPr="000A31BE" w:rsidRDefault="000A31BE" w:rsidP="001C244A">
                  <w:pPr>
                    <w:rPr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Default="001C244A" w:rsidP="001C244A">
                  <w:pPr>
                    <w:shd w:val="clear" w:color="auto" w:fill="FFFFFF"/>
                    <w:rPr>
                      <w:rFonts w:ascii="Arial" w:hAnsi="Arial" w:cs="Arial"/>
                      <w:bCs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>8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 xml:space="preserve">th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>Jun – 2</w:t>
                  </w:r>
                  <w:r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nd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Jul 2009 </w:t>
                  </w:r>
                  <w:r w:rsidRPr="00EE4B4D">
                    <w:rPr>
                      <w:rFonts w:ascii="Arial" w:hAnsi="Arial" w:cs="Arial"/>
                      <w:bCs/>
                      <w:sz w:val="19"/>
                    </w:rPr>
                    <w:t>Gothenburg-</w:t>
                  </w:r>
                  <w:proofErr w:type="spellStart"/>
                  <w:r w:rsidRPr="00EE4B4D">
                    <w:rPr>
                      <w:rFonts w:ascii="Arial" w:hAnsi="Arial" w:cs="Arial"/>
                      <w:bCs/>
                      <w:sz w:val="19"/>
                    </w:rPr>
                    <w:t>Swden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9"/>
                    </w:rPr>
                    <w:t xml:space="preserve">, </w:t>
                  </w:r>
                  <w:r w:rsidRPr="00EE4B4D">
                    <w:rPr>
                      <w:rFonts w:ascii="Arial" w:hAnsi="Arial" w:cs="Arial"/>
                      <w:bCs/>
                      <w:sz w:val="19"/>
                    </w:rPr>
                    <w:t>3</w:t>
                  </w:r>
                  <w:r w:rsidRPr="00EE4B4D">
                    <w:rPr>
                      <w:rFonts w:ascii="Arial" w:hAnsi="Arial" w:cs="Arial"/>
                      <w:bCs/>
                      <w:sz w:val="19"/>
                      <w:vertAlign w:val="superscript"/>
                    </w:rPr>
                    <w:t xml:space="preserve">rd </w:t>
                  </w:r>
                  <w:r w:rsidRPr="00EE4B4D">
                    <w:rPr>
                      <w:rFonts w:ascii="Arial" w:hAnsi="Arial" w:cs="Arial"/>
                      <w:bCs/>
                      <w:sz w:val="19"/>
                    </w:rPr>
                    <w:t>Congress of European Microbiologist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s -Federation of European Microbiological Societies (FEMS).</w:t>
                  </w:r>
                </w:p>
                <w:p w:rsidR="000A31BE" w:rsidRPr="001C244A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0A31BE" w:rsidRPr="00963859" w:rsidRDefault="001C244A" w:rsidP="001C244A">
                  <w:pPr>
                    <w:rPr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>9-14</w:t>
                  </w:r>
                  <w:r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 xml:space="preserve">th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Jun 2008            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Tehran</w:t>
                  </w:r>
                  <w:r w:rsidRPr="00731541">
                    <w:rPr>
                      <w:rFonts w:ascii="Arial" w:hAnsi="Arial" w:cs="Arial"/>
                      <w:bCs/>
                      <w:sz w:val="19"/>
                    </w:rPr>
                    <w:t>-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Iran</w:t>
                  </w:r>
                  <w:r>
                    <w:rPr>
                      <w:rFonts w:ascii="Arial" w:hAnsi="Arial" w:cs="Arial"/>
                      <w:sz w:val="19"/>
                    </w:rPr>
                    <w:t xml:space="preserve">, Training course on Hospital Infection Control. Organized by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sz w:val="19"/>
                        </w:rPr>
                        <w:t>Masih</w:t>
                      </w:r>
                    </w:smartTag>
                    <w:proofErr w:type="spellEnd"/>
                    <w:r>
                      <w:rPr>
                        <w:rFonts w:ascii="Arial" w:hAnsi="Arial" w:cs="Arial"/>
                        <w:sz w:val="19"/>
                      </w:rP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sz w:val="19"/>
                        </w:rPr>
                        <w:t>Danshveri</w:t>
                      </w:r>
                    </w:smartTag>
                    <w:proofErr w:type="spellEnd"/>
                    <w:r>
                      <w:rPr>
                        <w:rFonts w:ascii="Arial" w:hAnsi="Arial" w:cs="Arial"/>
                        <w:sz w:val="19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Arial" w:hAnsi="Arial" w:cs="Arial"/>
                          <w:sz w:val="19"/>
                        </w:rPr>
                        <w:t>Hospital</w:t>
                      </w:r>
                    </w:smartTag>
                  </w:smartTag>
                  <w:r>
                    <w:rPr>
                      <w:rFonts w:ascii="Arial" w:hAnsi="Arial" w:cs="Arial"/>
                      <w:sz w:val="19"/>
                    </w:rPr>
                    <w:t xml:space="preserve"> in collaboration with </w:t>
                  </w:r>
                  <w:proofErr w:type="gramStart"/>
                  <w:r>
                    <w:rPr>
                      <w:rFonts w:ascii="Arial" w:hAnsi="Arial" w:cs="Arial"/>
                      <w:sz w:val="19"/>
                    </w:rPr>
                    <w:t>WHO</w:t>
                  </w:r>
                  <w:proofErr w:type="gramEnd"/>
                  <w:r>
                    <w:rPr>
                      <w:rFonts w:ascii="Arial" w:hAnsi="Arial" w:cs="Arial"/>
                      <w:sz w:val="19"/>
                    </w:rPr>
                    <w:t>.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Default="001C244A" w:rsidP="001C244A">
                  <w:pPr>
                    <w:shd w:val="clear" w:color="auto" w:fill="FFFFFF"/>
                    <w:tabs>
                      <w:tab w:val="left" w:pos="3060"/>
                    </w:tabs>
                    <w:jc w:val="both"/>
                    <w:rPr>
                      <w:rFonts w:ascii="Arial" w:hAnsi="Arial" w:cs="Arial"/>
                      <w:sz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</w:rPr>
                    <w:t>2-17</w:t>
                  </w:r>
                  <w:r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 xml:space="preserve">th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 xml:space="preserve">Sep 2007            </w:t>
                  </w:r>
                  <w:r w:rsidRPr="00731541">
                    <w:rPr>
                      <w:rFonts w:ascii="Arial" w:hAnsi="Arial" w:cs="Arial"/>
                      <w:bCs/>
                      <w:sz w:val="19"/>
                    </w:rPr>
                    <w:t>Seoul-Korea</w:t>
                  </w:r>
                  <w:r>
                    <w:rPr>
                      <w:rFonts w:ascii="Arial" w:hAnsi="Arial" w:cs="Arial"/>
                      <w:sz w:val="19"/>
                    </w:rPr>
                    <w:t xml:space="preserve">, Training course on Health Policy and Program Management. Organized by planned population </w:t>
                  </w:r>
                  <w:proofErr w:type="spellStart"/>
                  <w:r>
                    <w:rPr>
                      <w:rFonts w:ascii="Arial" w:hAnsi="Arial" w:cs="Arial"/>
                      <w:sz w:val="19"/>
                    </w:rPr>
                    <w:t>fedration</w:t>
                  </w:r>
                  <w:proofErr w:type="spellEnd"/>
                  <w:r>
                    <w:rPr>
                      <w:rFonts w:ascii="Arial" w:hAnsi="Arial" w:cs="Arial"/>
                      <w:sz w:val="19"/>
                    </w:rPr>
                    <w:t xml:space="preserve"> of </w:t>
                  </w:r>
                  <w:smartTag w:uri="urn:schemas-microsoft-com:office:smarttags" w:element="country-region">
                    <w:r>
                      <w:rPr>
                        <w:rFonts w:ascii="Arial" w:hAnsi="Arial" w:cs="Arial"/>
                        <w:sz w:val="19"/>
                      </w:rPr>
                      <w:t>Korea</w:t>
                    </w:r>
                  </w:smartTag>
                  <w:r>
                    <w:rPr>
                      <w:rFonts w:ascii="Arial" w:hAnsi="Arial" w:cs="Arial"/>
                      <w:sz w:val="19"/>
                    </w:rPr>
                    <w:t xml:space="preserve"> and the </w:t>
                  </w:r>
                  <w:smartTag w:uri="urn:schemas-microsoft-com:office:smarttags" w:element="country-region">
                    <w:r>
                      <w:rPr>
                        <w:rFonts w:ascii="Arial" w:hAnsi="Arial" w:cs="Arial"/>
                        <w:sz w:val="19"/>
                      </w:rPr>
                      <w:t>Korea</w:t>
                    </w:r>
                  </w:smartTag>
                  <w:r>
                    <w:rPr>
                      <w:rFonts w:ascii="Arial" w:hAnsi="Arial" w:cs="Arial"/>
                      <w:sz w:val="19"/>
                    </w:rPr>
                    <w:t xml:space="preserve"> international cooperation agency of the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Arial" w:hAnsi="Arial" w:cs="Arial"/>
                          <w:sz w:val="19"/>
                        </w:rPr>
                        <w:t>Republic</w:t>
                      </w:r>
                    </w:smartTag>
                    <w:r>
                      <w:rPr>
                        <w:rFonts w:ascii="Arial" w:hAnsi="Arial" w:cs="Arial"/>
                        <w:sz w:val="19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sz w:val="19"/>
                        </w:rPr>
                        <w:t>Korea</w:t>
                      </w:r>
                    </w:smartTag>
                  </w:smartTag>
                  <w:r>
                    <w:rPr>
                      <w:rFonts w:ascii="Arial" w:hAnsi="Arial" w:cs="Arial"/>
                      <w:sz w:val="19"/>
                    </w:rPr>
                    <w:t xml:space="preserve">. </w:t>
                  </w:r>
                  <w:r w:rsidRPr="00731541">
                    <w:rPr>
                      <w:rFonts w:ascii="Arial" w:hAnsi="Arial" w:cs="Arial"/>
                      <w:sz w:val="19"/>
                    </w:rPr>
                    <w:t xml:space="preserve"> 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Default="001C244A" w:rsidP="001C244A">
                  <w:pPr>
                    <w:shd w:val="clear" w:color="auto" w:fill="FFFFFF"/>
                    <w:tabs>
                      <w:tab w:val="right" w:pos="2880"/>
                      <w:tab w:val="right" w:pos="3240"/>
                    </w:tabs>
                    <w:jc w:val="both"/>
                    <w:rPr>
                      <w:rFonts w:ascii="Arial" w:hAnsi="Arial" w:cs="Arial"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11-14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 xml:space="preserve">th 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Dec 2006     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</w:t>
                  </w:r>
                  <w:r w:rsidRPr="00B41760">
                    <w:rPr>
                      <w:rFonts w:ascii="Arial" w:hAnsi="Arial" w:cs="Arial"/>
                      <w:sz w:val="19"/>
                    </w:rPr>
                    <w:t xml:space="preserve">Cairo-Egypt, </w:t>
                  </w:r>
                  <w:proofErr w:type="spellStart"/>
                  <w:r w:rsidRPr="00B41760">
                    <w:rPr>
                      <w:rFonts w:ascii="Arial" w:hAnsi="Arial" w:cs="Arial"/>
                      <w:sz w:val="19"/>
                    </w:rPr>
                    <w:t>Intercountry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 xml:space="preserve"> workshop on rapid response for avian and </w:t>
                  </w:r>
                  <w:proofErr w:type="spellStart"/>
                  <w:r w:rsidRPr="00B41760">
                    <w:rPr>
                      <w:rFonts w:ascii="Arial" w:hAnsi="Arial" w:cs="Arial"/>
                      <w:sz w:val="19"/>
                    </w:rPr>
                    <w:t>pandamic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 xml:space="preserve"> influenza: training of trainers. Organized by </w:t>
                  </w:r>
                  <w:proofErr w:type="gramStart"/>
                  <w:r w:rsidRPr="00B41760">
                    <w:rPr>
                      <w:rFonts w:ascii="Arial" w:hAnsi="Arial" w:cs="Arial"/>
                      <w:sz w:val="19"/>
                    </w:rPr>
                    <w:t>WHO</w:t>
                  </w:r>
                  <w:proofErr w:type="gramEnd"/>
                  <w:r w:rsidRPr="00B41760">
                    <w:rPr>
                      <w:rFonts w:ascii="Arial" w:hAnsi="Arial" w:cs="Arial"/>
                      <w:sz w:val="19"/>
                    </w:rPr>
                    <w:t xml:space="preserve"> </w:t>
                  </w:r>
                  <w:smartTag w:uri="urn:schemas-microsoft-com:office:smarttags" w:element="place">
                    <w:r w:rsidRPr="00B41760">
                      <w:rPr>
                        <w:rFonts w:ascii="Arial" w:hAnsi="Arial" w:cs="Arial"/>
                        <w:sz w:val="19"/>
                      </w:rPr>
                      <w:t>Eastern Mediterranean</w:t>
                    </w:r>
                  </w:smartTag>
                  <w:r w:rsidRPr="00B41760">
                    <w:rPr>
                      <w:rFonts w:ascii="Arial" w:hAnsi="Arial" w:cs="Arial"/>
                      <w:sz w:val="19"/>
                    </w:rPr>
                    <w:t xml:space="preserve"> Region.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0A31BE" w:rsidRPr="00963859" w:rsidRDefault="001C244A" w:rsidP="001C244A">
                  <w:pPr>
                    <w:rPr>
                      <w:sz w:val="20"/>
                      <w:szCs w:val="20"/>
                    </w:rPr>
                  </w:pPr>
                  <w:r w:rsidRPr="00DF550F">
                    <w:rPr>
                      <w:rFonts w:ascii="Arial" w:hAnsi="Arial" w:cs="Arial"/>
                      <w:b/>
                      <w:sz w:val="19"/>
                      <w:szCs w:val="19"/>
                    </w:rPr>
                    <w:t>20-24</w:t>
                  </w:r>
                  <w:r w:rsidRPr="00DF550F">
                    <w:rPr>
                      <w:rFonts w:ascii="Arial" w:hAnsi="Arial" w:cs="Arial"/>
                      <w:b/>
                      <w:sz w:val="19"/>
                      <w:szCs w:val="19"/>
                      <w:vertAlign w:val="superscript"/>
                    </w:rPr>
                    <w:t xml:space="preserve">th </w:t>
                  </w:r>
                  <w:r w:rsidRPr="00DF550F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Aug 2006    </w:t>
                  </w: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ab/>
                  </w:r>
                  <w:r w:rsidRPr="00DF550F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 </w:t>
                  </w:r>
                  <w:proofErr w:type="spellStart"/>
                  <w:r w:rsidRPr="00DF550F">
                    <w:rPr>
                      <w:rFonts w:ascii="Arial" w:hAnsi="Arial" w:cs="Arial"/>
                      <w:bCs/>
                      <w:sz w:val="19"/>
                      <w:szCs w:val="19"/>
                    </w:rPr>
                    <w:t>Erbid</w:t>
                  </w:r>
                  <w:proofErr w:type="spellEnd"/>
                  <w:r w:rsidRPr="00DF550F">
                    <w:rPr>
                      <w:rFonts w:ascii="Arial" w:hAnsi="Arial" w:cs="Arial"/>
                      <w:bCs/>
                      <w:sz w:val="19"/>
                      <w:szCs w:val="19"/>
                    </w:rPr>
                    <w:t>-Jordan,</w:t>
                  </w: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r w:rsidRPr="00DF550F">
                    <w:rPr>
                      <w:rFonts w:ascii="Arial" w:hAnsi="Arial" w:cs="Arial"/>
                      <w:bCs/>
                      <w:sz w:val="19"/>
                      <w:szCs w:val="19"/>
                    </w:rPr>
                    <w:t>Overview</w:t>
                  </w:r>
                  <w:r w:rsidRPr="00DF550F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r w:rsidRPr="00DF550F">
                    <w:rPr>
                      <w:rFonts w:ascii="Arial" w:hAnsi="Arial" w:cs="Arial"/>
                      <w:bCs/>
                      <w:sz w:val="19"/>
                      <w:szCs w:val="19"/>
                    </w:rPr>
                    <w:t xml:space="preserve">on </w:t>
                  </w:r>
                  <w:r>
                    <w:rPr>
                      <w:rFonts w:ascii="Arial" w:hAnsi="Arial" w:cs="Arial"/>
                      <w:bCs/>
                      <w:sz w:val="19"/>
                      <w:szCs w:val="19"/>
                    </w:rPr>
                    <w:t xml:space="preserve">provision of health services in </w:t>
                  </w:r>
                  <w:r w:rsidRPr="00DF550F">
                    <w:rPr>
                      <w:rFonts w:ascii="Arial" w:hAnsi="Arial" w:cs="Arial"/>
                      <w:bCs/>
                      <w:sz w:val="19"/>
                      <w:szCs w:val="19"/>
                    </w:rPr>
                    <w:t>Jorda</w:t>
                  </w:r>
                  <w:r>
                    <w:rPr>
                      <w:rFonts w:ascii="Arial" w:hAnsi="Arial" w:cs="Arial"/>
                      <w:bCs/>
                      <w:sz w:val="19"/>
                      <w:szCs w:val="19"/>
                    </w:rPr>
                    <w:t xml:space="preserve">nian hospitals and getting information on the learning aspects in University of Science and Technology at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9"/>
                      <w:szCs w:val="19"/>
                    </w:rPr>
                    <w:t>Erbid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9"/>
                      <w:szCs w:val="19"/>
                    </w:rPr>
                    <w:t xml:space="preserve">    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Default="001C244A" w:rsidP="001C244A">
                  <w:pPr>
                    <w:shd w:val="clear" w:color="auto" w:fill="FFFFFF"/>
                    <w:tabs>
                      <w:tab w:val="right" w:pos="2700"/>
                      <w:tab w:val="right" w:pos="2880"/>
                    </w:tabs>
                    <w:jc w:val="both"/>
                    <w:rPr>
                      <w:rFonts w:ascii="Arial" w:hAnsi="Arial" w:cs="Arial"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16-20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 xml:space="preserve">th 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Sep 2006        </w:t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9"/>
                    </w:rPr>
                    <w:tab/>
                    <w:t xml:space="preserve"> </w:t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Duhok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-Kurdistan</w:t>
                  </w:r>
                  <w:r w:rsidRPr="00B41760">
                    <w:rPr>
                      <w:rFonts w:ascii="Arial" w:hAnsi="Arial" w:cs="Arial"/>
                      <w:sz w:val="19"/>
                    </w:rPr>
                    <w:t>-IRAQ, International Classification of Diseases 10</w:t>
                  </w:r>
                  <w:r w:rsidRPr="00B41760">
                    <w:rPr>
                      <w:rFonts w:ascii="Arial" w:hAnsi="Arial" w:cs="Arial"/>
                      <w:sz w:val="19"/>
                      <w:vertAlign w:val="superscript"/>
                    </w:rPr>
                    <w:t xml:space="preserve">th </w:t>
                  </w:r>
                  <w:r w:rsidRPr="00B41760">
                    <w:rPr>
                      <w:rFonts w:ascii="Arial" w:hAnsi="Arial" w:cs="Arial"/>
                      <w:sz w:val="19"/>
                    </w:rPr>
                    <w:t>revision workshop.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Pr="00B41760" w:rsidRDefault="001C244A" w:rsidP="001C244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5-7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th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May 2004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proofErr w:type="spellStart"/>
                  <w:r w:rsidRPr="00B41760">
                    <w:rPr>
                      <w:rFonts w:ascii="Arial" w:hAnsi="Arial" w:cs="Arial"/>
                      <w:sz w:val="19"/>
                    </w:rPr>
                    <w:t>Hawler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 xml:space="preserve">-Kurdistan-IRAQ, Second Medical conference conducted at </w:t>
                  </w:r>
                  <w:proofErr w:type="spellStart"/>
                  <w:r w:rsidRPr="00B41760">
                    <w:rPr>
                      <w:rFonts w:ascii="Arial" w:hAnsi="Arial" w:cs="Arial"/>
                      <w:sz w:val="19"/>
                    </w:rPr>
                    <w:t>Ministery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 xml:space="preserve"> of health conference </w:t>
                  </w:r>
                  <w:r>
                    <w:rPr>
                      <w:rFonts w:ascii="Arial" w:hAnsi="Arial" w:cs="Arial"/>
                      <w:sz w:val="19"/>
                    </w:rPr>
                    <w:t>hall</w:t>
                  </w:r>
                  <w:r w:rsidRPr="00B41760">
                    <w:rPr>
                      <w:rFonts w:ascii="Arial" w:hAnsi="Arial" w:cs="Arial"/>
                      <w:sz w:val="19"/>
                    </w:rPr>
                    <w:t xml:space="preserve">. 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Pr="00B41760" w:rsidRDefault="001C244A" w:rsidP="001C244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5-6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th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Sep 2003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r w:rsidRPr="00B41760">
                    <w:rPr>
                      <w:rFonts w:ascii="Arial" w:hAnsi="Arial" w:cs="Arial"/>
                      <w:sz w:val="19"/>
                    </w:rPr>
                    <w:t xml:space="preserve">Baghdad-IRAQ, A workshop on child protection. Organized by </w:t>
                  </w:r>
                  <w:proofErr w:type="spellStart"/>
                  <w:r w:rsidRPr="00B41760">
                    <w:rPr>
                      <w:rFonts w:ascii="Arial" w:hAnsi="Arial" w:cs="Arial"/>
                      <w:sz w:val="19"/>
                    </w:rPr>
                    <w:t>ministery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 xml:space="preserve"> of health/Baghdad.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Pr="00B41760" w:rsidRDefault="001C244A" w:rsidP="001C244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3-4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th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April 2002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u</w:t>
                  </w:r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h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o</w:t>
                  </w:r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k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>-Kurdistan-IRAQ, First Medical conference of the college of medicines.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</w:t>
                  </w:r>
                  <w:r w:rsidRPr="00B41760">
                    <w:rPr>
                      <w:rFonts w:ascii="Arial" w:hAnsi="Arial" w:cs="Arial"/>
                      <w:sz w:val="19"/>
                    </w:rPr>
                    <w:t>Organized by University</w:t>
                  </w:r>
                  <w:r>
                    <w:rPr>
                      <w:rFonts w:ascii="Arial" w:hAnsi="Arial" w:cs="Arial"/>
                      <w:sz w:val="19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sz w:val="19"/>
                    </w:rPr>
                    <w:t>Du</w:t>
                  </w:r>
                  <w:r w:rsidRPr="00B41760">
                    <w:rPr>
                      <w:rFonts w:ascii="Arial" w:hAnsi="Arial" w:cs="Arial"/>
                      <w:sz w:val="19"/>
                    </w:rPr>
                    <w:t>h</w:t>
                  </w:r>
                  <w:r>
                    <w:rPr>
                      <w:rFonts w:ascii="Arial" w:hAnsi="Arial" w:cs="Arial"/>
                      <w:sz w:val="19"/>
                    </w:rPr>
                    <w:t>o</w:t>
                  </w:r>
                  <w:r w:rsidRPr="00B41760">
                    <w:rPr>
                      <w:rFonts w:ascii="Arial" w:hAnsi="Arial" w:cs="Arial"/>
                      <w:sz w:val="19"/>
                    </w:rPr>
                    <w:t>k</w:t>
                  </w:r>
                  <w:proofErr w:type="spellEnd"/>
                  <w:r w:rsidRPr="00B41760">
                    <w:rPr>
                      <w:rFonts w:ascii="Arial" w:hAnsi="Arial" w:cs="Arial"/>
                      <w:sz w:val="19"/>
                    </w:rPr>
                    <w:t xml:space="preserve">. 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Pr="00B41760" w:rsidRDefault="001C244A" w:rsidP="001C244A">
                  <w:pPr>
                    <w:shd w:val="clear" w:color="auto" w:fill="FFFFFF"/>
                    <w:jc w:val="both"/>
                    <w:rPr>
                      <w:rFonts w:ascii="Arial" w:hAnsi="Arial" w:cs="Arial"/>
                      <w:bCs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28-31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st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Dec 2002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u</w:t>
                  </w:r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h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o</w:t>
                  </w:r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k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 xml:space="preserve">-Kurdistan-IRAQ, First workshop on communicable Diseases control in Complex Emergency Situation. Organized by Dr. </w:t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Chehrezad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 xml:space="preserve"> Ghazi, UNWHO acting coordinator of </w:t>
                  </w:r>
                  <w:smartTag w:uri="urn:schemas-microsoft-com:office:smarttags" w:element="place">
                    <w:r w:rsidRPr="00B41760">
                      <w:rPr>
                        <w:rFonts w:ascii="Arial" w:hAnsi="Arial" w:cs="Arial"/>
                        <w:bCs/>
                        <w:sz w:val="19"/>
                      </w:rPr>
                      <w:t>Northern Iraq</w:t>
                    </w:r>
                  </w:smartTag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.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0A31BE" w:rsidRPr="007367EB" w:rsidTr="00F17589">
              <w:trPr>
                <w:trHeight w:val="378"/>
              </w:trPr>
              <w:tc>
                <w:tcPr>
                  <w:tcW w:w="9835" w:type="dxa"/>
                  <w:gridSpan w:val="4"/>
                  <w:shd w:val="clear" w:color="auto" w:fill="FFFFFF"/>
                </w:tcPr>
                <w:p w:rsidR="001C244A" w:rsidRPr="00B41760" w:rsidRDefault="001C244A" w:rsidP="001C244A">
                  <w:pPr>
                    <w:shd w:val="clear" w:color="auto" w:fill="FFFFFF"/>
                    <w:jc w:val="both"/>
                    <w:rPr>
                      <w:rFonts w:ascii="Arial" w:hAnsi="Arial" w:cs="Arial"/>
                      <w:bCs/>
                      <w:sz w:val="19"/>
                    </w:rPr>
                  </w:pPr>
                  <w:r w:rsidRPr="00B41760">
                    <w:rPr>
                      <w:rFonts w:ascii="Arial" w:hAnsi="Arial" w:cs="Arial"/>
                      <w:b/>
                      <w:sz w:val="19"/>
                    </w:rPr>
                    <w:t>10-12</w:t>
                  </w:r>
                  <w:r w:rsidRPr="00B41760">
                    <w:rPr>
                      <w:rFonts w:ascii="Arial" w:hAnsi="Arial" w:cs="Arial"/>
                      <w:b/>
                      <w:sz w:val="19"/>
                      <w:vertAlign w:val="superscript"/>
                    </w:rPr>
                    <w:t>th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 xml:space="preserve"> Dec 2001</w:t>
                  </w:r>
                  <w:r w:rsidRPr="00B41760">
                    <w:rPr>
                      <w:rFonts w:ascii="Arial" w:hAnsi="Arial" w:cs="Arial"/>
                      <w:b/>
                      <w:sz w:val="19"/>
                    </w:rPr>
                    <w:tab/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u</w:t>
                  </w:r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h</w:t>
                  </w:r>
                  <w:r>
                    <w:rPr>
                      <w:rFonts w:ascii="Arial" w:hAnsi="Arial" w:cs="Arial"/>
                      <w:bCs/>
                      <w:sz w:val="19"/>
                    </w:rPr>
                    <w:t>o</w:t>
                  </w:r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k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 xml:space="preserve">-Kurdistan-IRAQ, A workshop on Health Management. Organized by Dr. </w:t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Enayatulla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 xml:space="preserve"> </w:t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Aman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 xml:space="preserve">, UNWHO officer in charge – </w:t>
                  </w:r>
                  <w:proofErr w:type="spellStart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>Duhok</w:t>
                  </w:r>
                  <w:proofErr w:type="spellEnd"/>
                  <w:r w:rsidRPr="00B41760">
                    <w:rPr>
                      <w:rFonts w:ascii="Arial" w:hAnsi="Arial" w:cs="Arial"/>
                      <w:bCs/>
                      <w:sz w:val="19"/>
                    </w:rPr>
                    <w:t xml:space="preserve"> sub-office.</w:t>
                  </w:r>
                </w:p>
                <w:p w:rsidR="000A31BE" w:rsidRPr="00963859" w:rsidRDefault="000A31BE" w:rsidP="001C24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0A31BE" w:rsidRPr="00983D97" w:rsidRDefault="000A31BE" w:rsidP="00F17589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B0672B" w:rsidTr="00F17589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شارةزاييَن زمان و كومثوتةرى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906864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زمان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نظيَسين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خاندن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F306C6" w:rsidRPr="00B0672B" w:rsidTr="00F17589">
              <w:trPr>
                <w:trHeight w:val="335"/>
              </w:trPr>
              <w:tc>
                <w:tcPr>
                  <w:tcW w:w="2995" w:type="dxa"/>
                  <w:shd w:val="clear" w:color="auto" w:fill="FFFFFF"/>
                </w:tcPr>
                <w:p w:rsidR="00F306C6" w:rsidRPr="00392C07" w:rsidRDefault="00F306C6" w:rsidP="00F306C6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كوردى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F306C6" w:rsidRPr="00D50ED2" w:rsidRDefault="00F306C6" w:rsidP="00F306C6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F306C6" w:rsidRPr="00D50ED2" w:rsidRDefault="00F306C6" w:rsidP="00F306C6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F306C6" w:rsidRPr="00D50ED2" w:rsidRDefault="00F306C6" w:rsidP="00F306C6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F306C6" w:rsidRPr="00392C07" w:rsidRDefault="00F306C6" w:rsidP="00F306C6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F306C6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F306C6" w:rsidRPr="00392C07" w:rsidRDefault="00F306C6" w:rsidP="00F306C6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F306C6" w:rsidRPr="00D50ED2" w:rsidRDefault="00F306C6" w:rsidP="00F306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F306C6" w:rsidRPr="00D50ED2" w:rsidRDefault="00F306C6" w:rsidP="00F306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F306C6" w:rsidRPr="00D50ED2" w:rsidRDefault="00F306C6" w:rsidP="00F306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F306C6" w:rsidRPr="00392C07" w:rsidRDefault="00F306C6" w:rsidP="00F306C6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F306C6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F306C6" w:rsidRPr="00392C07" w:rsidRDefault="00F306C6" w:rsidP="00F306C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ئينطليزى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F306C6" w:rsidRPr="00D50ED2" w:rsidRDefault="00F306C6" w:rsidP="00F306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F306C6" w:rsidRPr="00D50ED2" w:rsidRDefault="00F306C6" w:rsidP="00F306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F306C6" w:rsidRPr="00D50ED2" w:rsidRDefault="00F306C6" w:rsidP="00F306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F306C6" w:rsidRPr="00392C07" w:rsidRDefault="00F306C6" w:rsidP="00F306C6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6E5BD6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6E5BD6" w:rsidRPr="00392C07" w:rsidRDefault="006E5BD6" w:rsidP="006E5BD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>
                    <w:rPr>
                      <w:rFonts w:cs="Zanest _ Govar" w:hint="cs"/>
                      <w:szCs w:val="28"/>
                      <w:rtl/>
                    </w:rPr>
                    <w:t>فارسي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6E5BD6" w:rsidRPr="00D50ED2" w:rsidRDefault="006E5BD6" w:rsidP="006E5B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6E5BD6" w:rsidRPr="00D50ED2" w:rsidRDefault="006E5BD6" w:rsidP="006E5B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6E5BD6" w:rsidRPr="00D50ED2" w:rsidRDefault="006E5BD6" w:rsidP="006E5B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6E5BD6" w:rsidRPr="00392C07" w:rsidRDefault="006E5BD6" w:rsidP="006E5BD6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6E5BD6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6E5BD6" w:rsidRPr="00392C07" w:rsidRDefault="006E5BD6" w:rsidP="006E5BD6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 بةرنامةى كومثوتةرى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6E5BD6" w:rsidRPr="00392C07" w:rsidRDefault="006E5BD6" w:rsidP="006E5BD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نةباش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>ضعيف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6E5BD6" w:rsidRPr="00392C07" w:rsidRDefault="006E5BD6" w:rsidP="006E5BD6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باش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6E5BD6" w:rsidRPr="00392C07" w:rsidRDefault="006E5BD6" w:rsidP="006E5BD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زور باش</w:t>
                  </w:r>
                </w:p>
                <w:p w:rsidR="006E5BD6" w:rsidRPr="00392C07" w:rsidRDefault="006E5BD6" w:rsidP="006E5BD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(جيد جداً)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6E5BD6" w:rsidRPr="00392C07" w:rsidRDefault="006E5BD6" w:rsidP="006E5BD6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6E5BD6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6E5BD6" w:rsidRPr="00392C07" w:rsidRDefault="006E5BD6" w:rsidP="006E5BD6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Word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6E5BD6" w:rsidRPr="00D50ED2" w:rsidRDefault="006E5BD6" w:rsidP="006E5BD6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6E5BD6" w:rsidRPr="00D50ED2" w:rsidRDefault="006E5BD6" w:rsidP="006E5BD6">
                  <w:pPr>
                    <w:bidi/>
                    <w:ind w:left="360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6E5BD6" w:rsidRPr="00D50ED2" w:rsidRDefault="006E5BD6" w:rsidP="006E5BD6">
                  <w:pPr>
                    <w:numPr>
                      <w:ilvl w:val="0"/>
                      <w:numId w:val="1"/>
                    </w:num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6E5BD6" w:rsidRPr="00392C07" w:rsidRDefault="006E5BD6" w:rsidP="006E5BD6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6E5BD6" w:rsidRPr="00B0672B" w:rsidTr="00F17589">
              <w:trPr>
                <w:trHeight w:val="350"/>
              </w:trPr>
              <w:tc>
                <w:tcPr>
                  <w:tcW w:w="2995" w:type="dxa"/>
                  <w:shd w:val="clear" w:color="auto" w:fill="FFFFFF"/>
                </w:tcPr>
                <w:p w:rsidR="006E5BD6" w:rsidRPr="00392C07" w:rsidRDefault="006E5BD6" w:rsidP="006E5BD6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Excel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6E5BD6" w:rsidRPr="00D50ED2" w:rsidRDefault="006E5BD6" w:rsidP="006E5BD6">
                  <w:pPr>
                    <w:bidi/>
                    <w:ind w:left="720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6E5BD6" w:rsidRPr="00D50ED2" w:rsidRDefault="006E5BD6" w:rsidP="006E5BD6">
                  <w:pPr>
                    <w:bidi/>
                    <w:ind w:left="360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6E5BD6" w:rsidRPr="00D50ED2" w:rsidRDefault="006E5BD6" w:rsidP="006E5BD6">
                  <w:pPr>
                    <w:numPr>
                      <w:ilvl w:val="0"/>
                      <w:numId w:val="1"/>
                    </w:num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6E5BD6" w:rsidRPr="00392C07" w:rsidRDefault="006E5BD6" w:rsidP="006E5BD6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6E5BD6" w:rsidRPr="00B0672B" w:rsidTr="00F17589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6E5BD6" w:rsidRPr="00392C07" w:rsidRDefault="006E5BD6" w:rsidP="006E5BD6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PowerPoint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6E5BD6" w:rsidRPr="00D50ED2" w:rsidRDefault="006E5BD6" w:rsidP="006E5BD6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6E5BD6" w:rsidRPr="00D50ED2" w:rsidRDefault="006E5BD6" w:rsidP="006E5BD6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6E5BD6" w:rsidRPr="00495705" w:rsidRDefault="006E5BD6" w:rsidP="006E5BD6">
                  <w:pPr>
                    <w:numPr>
                      <w:ilvl w:val="0"/>
                      <w:numId w:val="1"/>
                    </w:num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906864" w:rsidRDefault="00906864" w:rsidP="00F17589">
            <w:pPr>
              <w:bidi/>
              <w:spacing w:before="120" w:line="360" w:lineRule="exact"/>
              <w:rPr>
                <w:rtl/>
              </w:rPr>
            </w:pPr>
          </w:p>
        </w:tc>
      </w:tr>
      <w:tr w:rsidR="00906864" w:rsidTr="00F17589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F17589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F17589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F17589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F17589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F17589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F17589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F17589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F17589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F17589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F17589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 w:rsidRPr="007D3DB5">
                    <w:rPr>
                      <w:rtl/>
                      <w:lang w:bidi="ar-IQ"/>
                    </w:rPr>
                    <w:t>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F17589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F17589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F17589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F17589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F17589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F1758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</w:pPr>
          </w:p>
          <w:p w:rsidR="00906864" w:rsidRDefault="00906864" w:rsidP="00F17589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129"/>
              <w:gridCol w:w="2804"/>
              <w:gridCol w:w="2790"/>
              <w:gridCol w:w="1710"/>
              <w:gridCol w:w="540"/>
            </w:tblGrid>
            <w:tr w:rsidR="00906864" w:rsidRPr="007367EB" w:rsidTr="00F17589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F17589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F17589">
              <w:trPr>
                <w:trHeight w:val="167"/>
              </w:trPr>
              <w:tc>
                <w:tcPr>
                  <w:tcW w:w="8723" w:type="dxa"/>
                  <w:gridSpan w:val="3"/>
                  <w:shd w:val="clear" w:color="auto" w:fill="BFBFBF"/>
                </w:tcPr>
                <w:p w:rsidR="00906864" w:rsidRPr="00CE7F16" w:rsidRDefault="00906864" w:rsidP="00F17589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BFBFBF"/>
                </w:tcPr>
                <w:p w:rsidR="00906864" w:rsidRPr="007367E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BFBFBF"/>
                </w:tcPr>
                <w:p w:rsidR="00906864" w:rsidRPr="007367E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  <w:r w:rsidRPr="001758F2">
                    <w:rPr>
                      <w:rFonts w:cs="Zanest _ Govar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F306C6" w:rsidP="00F17589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 xml:space="preserve">02/10/1999 Directorate General of Health,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Duhok</w:t>
                  </w:r>
                  <w:proofErr w:type="spellEnd"/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8333BA" w:rsidP="00F17589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06/07/2011</w:t>
                  </w: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/  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دهؤك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  / فةكولتيا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/ سكولا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/  ثشكا 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كةلاشتن</w:t>
                  </w:r>
                </w:p>
                <w:p w:rsidR="00906864" w:rsidRPr="001758F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الوظيفة الحالية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:           جامعة /            / فاكلتي           / سكول          / قسم  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F306C6" w:rsidP="00F17589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 xml:space="preserve">Department of Medicine, School of Medicine, Faculty of Medical Sciences, University of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Duhok</w:t>
                  </w:r>
                  <w:proofErr w:type="spellEnd"/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F306C6" w:rsidP="00F17589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مدرس</w:t>
                  </w: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بكلوريوس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0F497F" w:rsidRDefault="00AF0672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MBChB</w:t>
                  </w:r>
                  <w:proofErr w:type="spellEnd"/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1998-1999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0F497F" w:rsidRDefault="00AF0672" w:rsidP="00F17589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2011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0F497F" w:rsidRDefault="00AF0672" w:rsidP="00F17589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2005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AF0672" w:rsidRDefault="00AF0672" w:rsidP="00F17589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 xml:space="preserve">Directorate General of Health,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Duhok</w:t>
                  </w:r>
                  <w:proofErr w:type="spellEnd"/>
                  <w:r>
                    <w:rPr>
                      <w:rFonts w:cs="Zanest _ Govar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Azadi</w:t>
                  </w:r>
                  <w:proofErr w:type="spellEnd"/>
                  <w:r>
                    <w:rPr>
                      <w:rFonts w:cs="Zanest _ Govar"/>
                      <w:sz w:val="20"/>
                      <w:szCs w:val="20"/>
                    </w:rPr>
                    <w:t xml:space="preserve"> Teaching Hospital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AF0672" w:rsidRDefault="00AF0672" w:rsidP="00F17589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 xml:space="preserve">Department of Medicine, School of Medicine, Faculty of Medical Sciences, University of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Duhok</w:t>
                  </w:r>
                  <w:proofErr w:type="spellEnd"/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AF0672" w:rsidRDefault="00AF0672" w:rsidP="00AF0D8A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 xml:space="preserve">Directorate General of Health,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Duhok</w:t>
                  </w:r>
                  <w:proofErr w:type="spellEnd"/>
                  <w:r>
                    <w:rPr>
                      <w:rFonts w:cs="Zanest _ Govar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Azadi</w:t>
                  </w:r>
                  <w:proofErr w:type="spellEnd"/>
                  <w:r>
                    <w:rPr>
                      <w:rFonts w:cs="Zanest _ Govar"/>
                      <w:sz w:val="20"/>
                      <w:szCs w:val="20"/>
                    </w:rPr>
                    <w:t xml:space="preserve"> Teaching </w:t>
                  </w: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Hospita</w:t>
                  </w:r>
                  <w:proofErr w:type="spellEnd"/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7844" w:type="dxa"/>
                  <w:gridSpan w:val="4"/>
                  <w:shd w:val="clear" w:color="auto" w:fill="FFFFFF"/>
                </w:tcPr>
                <w:p w:rsidR="00906864" w:rsidRPr="00F61377" w:rsidRDefault="00F61377" w:rsidP="00F17589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61377">
                    <w:rPr>
                      <w:rFonts w:asciiTheme="majorBidi" w:hAnsiTheme="majorBidi" w:cstheme="majorBidi"/>
                      <w:b/>
                      <w:bCs/>
                    </w:rPr>
                    <w:t xml:space="preserve">Master Degree: </w:t>
                  </w:r>
                  <w:r w:rsidR="00AF0672" w:rsidRPr="00F61377">
                    <w:rPr>
                      <w:rFonts w:asciiTheme="majorBidi" w:hAnsiTheme="majorBidi" w:cstheme="majorBidi"/>
                      <w:b/>
                      <w:bCs/>
                    </w:rPr>
                    <w:t xml:space="preserve">Management of </w:t>
                  </w:r>
                  <w:proofErr w:type="spellStart"/>
                  <w:r w:rsidR="00AF0672" w:rsidRPr="00F61377">
                    <w:rPr>
                      <w:rFonts w:asciiTheme="majorBidi" w:hAnsiTheme="majorBidi" w:cstheme="majorBidi"/>
                      <w:b/>
                      <w:bCs/>
                    </w:rPr>
                    <w:t>Postpneumonic</w:t>
                  </w:r>
                  <w:proofErr w:type="spellEnd"/>
                  <w:r w:rsidR="00AF0672" w:rsidRPr="00F61377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="00AF0672" w:rsidRPr="00F61377">
                    <w:rPr>
                      <w:rFonts w:asciiTheme="majorBidi" w:hAnsiTheme="majorBidi" w:cstheme="majorBidi"/>
                      <w:b/>
                      <w:bCs/>
                    </w:rPr>
                    <w:t>Empyema</w:t>
                  </w:r>
                  <w:proofErr w:type="spellEnd"/>
                  <w:r w:rsidR="00AF0672" w:rsidRPr="00F61377">
                    <w:rPr>
                      <w:rFonts w:asciiTheme="majorBidi" w:hAnsiTheme="majorBidi" w:cstheme="majorBidi"/>
                      <w:b/>
                      <w:bCs/>
                    </w:rPr>
                    <w:t xml:space="preserve"> in Children: a 10 Year Experience</w:t>
                  </w:r>
                  <w:r w:rsidRPr="00F61377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</w:p>
                <w:p w:rsidR="00F61377" w:rsidRPr="00F61377" w:rsidRDefault="00F61377" w:rsidP="00AF0672">
                  <w:pPr>
                    <w:pStyle w:val="Heading4"/>
                    <w:shd w:val="clear" w:color="auto" w:fill="FFFFFF"/>
                    <w:ind w:left="1440" w:hanging="1440"/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</w:pPr>
                  <w:r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 xml:space="preserve">PhD Degree: </w:t>
                  </w:r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 xml:space="preserve">Clinical and Molecular characterization of </w:t>
                  </w:r>
                  <w:proofErr w:type="spellStart"/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>Mycobaterium</w:t>
                  </w:r>
                  <w:proofErr w:type="spellEnd"/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 xml:space="preserve"> tuberculosis </w:t>
                  </w:r>
                  <w:proofErr w:type="gramStart"/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>strains  isolated</w:t>
                  </w:r>
                  <w:proofErr w:type="gramEnd"/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 xml:space="preserve"> from patients in </w:t>
                  </w:r>
                  <w:proofErr w:type="spellStart"/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>Duhok</w:t>
                  </w:r>
                  <w:proofErr w:type="spellEnd"/>
                  <w:r w:rsidR="00AF0672" w:rsidRPr="00F61377">
                    <w:rPr>
                      <w:rFonts w:asciiTheme="majorBidi" w:hAnsiTheme="majorBidi"/>
                      <w:i w:val="0"/>
                      <w:iCs w:val="0"/>
                      <w:color w:val="auto"/>
                    </w:rPr>
                    <w:t xml:space="preserve"> province, Iraqi Kurdistan</w:t>
                  </w:r>
                </w:p>
                <w:p w:rsidR="00F61377" w:rsidRPr="00F61377" w:rsidRDefault="00F61377" w:rsidP="00F61377">
                  <w:pPr>
                    <w:spacing w:line="360" w:lineRule="auto"/>
                    <w:rPr>
                      <w:b/>
                      <w:bCs/>
                    </w:rPr>
                  </w:pPr>
                  <w:r w:rsidRPr="00F61377">
                    <w:rPr>
                      <w:rFonts w:asciiTheme="majorBidi" w:hAnsiTheme="majorBidi" w:cstheme="majorBidi"/>
                      <w:b/>
                      <w:bCs/>
                    </w:rPr>
                    <w:t>FID (Subspecialty fellowship):</w:t>
                  </w:r>
                  <w:r w:rsidRPr="00F61377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 xml:space="preserve">  </w:t>
                  </w:r>
                  <w:proofErr w:type="spellStart"/>
                  <w:r w:rsidRPr="00F61377">
                    <w:rPr>
                      <w:b/>
                      <w:bCs/>
                    </w:rPr>
                    <w:t>Seroclearance</w:t>
                  </w:r>
                  <w:proofErr w:type="spellEnd"/>
                  <w:r w:rsidRPr="00F61377">
                    <w:rPr>
                      <w:b/>
                      <w:bCs/>
                    </w:rPr>
                    <w:t xml:space="preserve"> of </w:t>
                  </w:r>
                  <w:proofErr w:type="spellStart"/>
                  <w:r w:rsidRPr="00F61377">
                    <w:rPr>
                      <w:b/>
                      <w:bCs/>
                    </w:rPr>
                    <w:t>HBsAg</w:t>
                  </w:r>
                  <w:proofErr w:type="spellEnd"/>
                  <w:r w:rsidRPr="00F61377">
                    <w:rPr>
                      <w:b/>
                      <w:bCs/>
                    </w:rPr>
                    <w:t xml:space="preserve"> in chronic hepatitis B virus patients on </w:t>
                  </w:r>
                  <w:proofErr w:type="spellStart"/>
                  <w:r w:rsidRPr="00F61377">
                    <w:rPr>
                      <w:b/>
                      <w:bCs/>
                    </w:rPr>
                    <w:t>lamivudine</w:t>
                  </w:r>
                  <w:proofErr w:type="spellEnd"/>
                  <w:r w:rsidRPr="00F61377">
                    <w:rPr>
                      <w:b/>
                      <w:bCs/>
                    </w:rPr>
                    <w:t xml:space="preserve"> therapy: a 10 year retrospective study</w:t>
                  </w:r>
                </w:p>
                <w:p w:rsidR="00F61377" w:rsidRPr="00F61377" w:rsidRDefault="00F61377" w:rsidP="00F61377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AF0672" w:rsidRPr="00AF0672" w:rsidRDefault="00AF0672" w:rsidP="00F17589">
                  <w:pPr>
                    <w:jc w:val="both"/>
                    <w:rPr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7844" w:type="dxa"/>
                  <w:gridSpan w:val="4"/>
                  <w:shd w:val="clear" w:color="auto" w:fill="FFFFFF"/>
                </w:tcPr>
                <w:p w:rsidR="00906864" w:rsidRDefault="00EF7BA0" w:rsidP="00EF7BA0">
                  <w:pPr>
                    <w:rPr>
                      <w:rFonts w:cs="Zanest _ Govar"/>
                      <w:sz w:val="32"/>
                      <w:szCs w:val="32"/>
                      <w:lang w:bidi="ar-IQ"/>
                    </w:rPr>
                  </w:pPr>
                  <w:proofErr w:type="spellStart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MSc</w:t>
                  </w:r>
                  <w:proofErr w:type="spellEnd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 xml:space="preserve">: Dr. Harish </w:t>
                  </w:r>
                  <w:proofErr w:type="spellStart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V</w:t>
                  </w:r>
                  <w:r w:rsidR="00AF0672">
                    <w:rPr>
                      <w:rFonts w:cs="Zanest _ Govar"/>
                      <w:sz w:val="32"/>
                      <w:szCs w:val="32"/>
                      <w:lang w:bidi="ar-IQ"/>
                    </w:rPr>
                    <w:t>y</w:t>
                  </w:r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as</w:t>
                  </w:r>
                  <w:proofErr w:type="spellEnd"/>
                </w:p>
                <w:p w:rsidR="00EF7BA0" w:rsidRDefault="00EF7BA0" w:rsidP="00EF7BA0">
                  <w:pPr>
                    <w:rPr>
                      <w:rFonts w:cs="Zanest _ Govar"/>
                      <w:sz w:val="32"/>
                      <w:szCs w:val="32"/>
                      <w:lang w:bidi="ar-IQ"/>
                    </w:rPr>
                  </w:pPr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 xml:space="preserve">PhD: Dr. </w:t>
                  </w:r>
                  <w:proofErr w:type="spellStart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Parissa</w:t>
                  </w:r>
                  <w:proofErr w:type="spellEnd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 xml:space="preserve"> </w:t>
                  </w:r>
                  <w:proofErr w:type="spellStart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Farnia</w:t>
                  </w:r>
                  <w:proofErr w:type="spellEnd"/>
                </w:p>
                <w:p w:rsidR="00F61377" w:rsidRPr="00B136D2" w:rsidRDefault="00F61377" w:rsidP="00EF7BA0">
                  <w:pPr>
                    <w:rPr>
                      <w:rFonts w:cs="Zanest _ Govar"/>
                      <w:sz w:val="32"/>
                      <w:szCs w:val="32"/>
                      <w:lang w:bidi="ar-IQ"/>
                    </w:rPr>
                  </w:pPr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 xml:space="preserve">FID: Prof. Dr. </w:t>
                  </w:r>
                  <w:proofErr w:type="spellStart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Davood</w:t>
                  </w:r>
                  <w:proofErr w:type="spellEnd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 xml:space="preserve"> </w:t>
                  </w:r>
                  <w:proofErr w:type="spellStart"/>
                  <w:r>
                    <w:rPr>
                      <w:rFonts w:cs="Zanest _ Govar"/>
                      <w:sz w:val="32"/>
                      <w:szCs w:val="32"/>
                      <w:lang w:bidi="ar-IQ"/>
                    </w:rPr>
                    <w:t>Yadegarinia</w:t>
                  </w:r>
                  <w:proofErr w:type="spellEnd"/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304" w:type="dxa"/>
                  <w:gridSpan w:val="3"/>
                  <w:shd w:val="clear" w:color="auto" w:fill="FFFFFF"/>
                </w:tcPr>
                <w:p w:rsidR="00906864" w:rsidRPr="00EF7BA0" w:rsidRDefault="00EF7BA0" w:rsidP="00F61377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 xml:space="preserve"> باطنية و جراحة عامة</w:t>
                  </w:r>
                  <w:r w:rsidR="00F61377">
                    <w:rPr>
                      <w:rFonts w:hint="cs"/>
                      <w:rtl/>
                    </w:rPr>
                    <w:t xml:space="preserve"> 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EF7BA0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304" w:type="dxa"/>
                  <w:gridSpan w:val="3"/>
                  <w:shd w:val="clear" w:color="auto" w:fill="FFFFFF"/>
                </w:tcPr>
                <w:p w:rsidR="00906864" w:rsidRDefault="00EF7BA0" w:rsidP="00AF0D8A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 الامراض المعدية</w:t>
                  </w:r>
                </w:p>
                <w:p w:rsidR="00EF7BA0" w:rsidRDefault="00EF7BA0" w:rsidP="00EF7BA0">
                  <w:pPr>
                    <w:bidi/>
                    <w:rPr>
                      <w:rtl/>
                    </w:rPr>
                  </w:pPr>
                </w:p>
                <w:p w:rsidR="00EF7BA0" w:rsidRPr="00EF7BA0" w:rsidRDefault="00EF7BA0" w:rsidP="00EF7BA0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F1758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493EC9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906864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  <w:p w:rsidR="00906864" w:rsidRPr="00B84BE2" w:rsidRDefault="00906864" w:rsidP="00F1758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F17589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  <w:p w:rsidR="00906864" w:rsidRPr="00493EC9" w:rsidRDefault="00906864" w:rsidP="00EF7B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493EC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Default="00906864" w:rsidP="00F17589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  <w:p w:rsidR="00906864" w:rsidRPr="00493EC9" w:rsidRDefault="00906864" w:rsidP="00EF7BA0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>
                    <w:t xml:space="preserve">    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Default="00906864" w:rsidP="00F17589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  <w:p w:rsidR="00906864" w:rsidRPr="00493EC9" w:rsidRDefault="00906864" w:rsidP="00EF7B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B0705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DB0705" w:rsidRPr="00DB0705" w:rsidRDefault="00DB0705" w:rsidP="00DB0705">
                  <w:pPr>
                    <w:pStyle w:val="desc"/>
                    <w:spacing w:before="0" w:beforeAutospacing="0" w:after="0" w:afterAutospacing="0" w:line="360" w:lineRule="auto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proofErr w:type="spellStart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>Yadegarynia</w:t>
                  </w:r>
                  <w:proofErr w:type="spellEnd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D, </w:t>
                  </w:r>
                  <w:proofErr w:type="spellStart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>Merza</w:t>
                  </w:r>
                  <w:proofErr w:type="spellEnd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MA, </w:t>
                  </w:r>
                  <w:proofErr w:type="spellStart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>Sali</w:t>
                  </w:r>
                  <w:proofErr w:type="spellEnd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S, </w:t>
                  </w:r>
                  <w:proofErr w:type="spellStart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>Seghatoleslami</w:t>
                  </w:r>
                  <w:proofErr w:type="spellEnd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ZS.</w:t>
                  </w:r>
                  <w:r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</w:t>
                  </w:r>
                  <w:hyperlink r:id="rId9" w:history="1">
                    <w:r w:rsidRPr="00210000">
                      <w:rPr>
                        <w:rStyle w:val="Hyperlink"/>
                        <w:rFonts w:asciiTheme="minorBidi" w:hAnsiTheme="minorBidi" w:cstheme="minorBidi"/>
                        <w:color w:val="auto"/>
                        <w:sz w:val="20"/>
                        <w:szCs w:val="20"/>
                        <w:u w:val="none"/>
                      </w:rPr>
                      <w:t xml:space="preserve">Multiple intracranial </w:t>
                    </w:r>
                    <w:proofErr w:type="spellStart"/>
                    <w:r w:rsidRPr="00210000">
                      <w:rPr>
                        <w:rStyle w:val="Hyperlink"/>
                        <w:rFonts w:asciiTheme="minorBidi" w:hAnsiTheme="minorBidi" w:cstheme="minorBidi"/>
                        <w:color w:val="auto"/>
                        <w:sz w:val="20"/>
                        <w:szCs w:val="20"/>
                        <w:u w:val="none"/>
                      </w:rPr>
                      <w:t>tuberculomas</w:t>
                    </w:r>
                    <w:proofErr w:type="spellEnd"/>
                    <w:r w:rsidRPr="00210000">
                      <w:rPr>
                        <w:rStyle w:val="Hyperlink"/>
                        <w:rFonts w:asciiTheme="minorBidi" w:hAnsiTheme="minorBidi" w:cstheme="minorBidi"/>
                        <w:color w:val="auto"/>
                        <w:sz w:val="20"/>
                        <w:szCs w:val="20"/>
                        <w:u w:val="none"/>
                      </w:rPr>
                      <w:t xml:space="preserve"> in a post-kidney transplant patient.</w:t>
                    </w:r>
                  </w:hyperlink>
                  <w:r>
                    <w:rPr>
                      <w:rStyle w:val="jrnl"/>
                      <w:rFonts w:asciiTheme="minorBidi" w:hAnsiTheme="minorBidi" w:cstheme="minorBidi"/>
                      <w:sz w:val="20"/>
                      <w:szCs w:val="20"/>
                    </w:rPr>
                    <w:t xml:space="preserve"> </w:t>
                  </w:r>
                  <w:r w:rsidRPr="00210000">
                    <w:rPr>
                      <w:rStyle w:val="jrnl"/>
                      <w:rFonts w:asciiTheme="minorBidi" w:eastAsiaTheme="majorEastAsia" w:hAnsiTheme="minorBidi" w:cstheme="minorBidi"/>
                      <w:sz w:val="20"/>
                      <w:szCs w:val="20"/>
                    </w:rPr>
                    <w:t xml:space="preserve">Saudi J Kidney </w:t>
                  </w:r>
                  <w:proofErr w:type="spellStart"/>
                  <w:r w:rsidRPr="00210000">
                    <w:rPr>
                      <w:rStyle w:val="jrnl"/>
                      <w:rFonts w:asciiTheme="minorBidi" w:eastAsiaTheme="majorEastAsia" w:hAnsiTheme="minorBidi" w:cstheme="minorBidi"/>
                      <w:sz w:val="20"/>
                      <w:szCs w:val="20"/>
                    </w:rPr>
                    <w:t>Dis</w:t>
                  </w:r>
                  <w:proofErr w:type="spellEnd"/>
                  <w:r w:rsidRPr="00210000">
                    <w:rPr>
                      <w:rStyle w:val="jrnl"/>
                      <w:rFonts w:asciiTheme="minorBidi" w:eastAsiaTheme="majorEastAsia" w:hAnsiTheme="minorBidi" w:cstheme="min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0000">
                    <w:rPr>
                      <w:rStyle w:val="jrnl"/>
                      <w:rFonts w:asciiTheme="minorBidi" w:eastAsiaTheme="majorEastAsia" w:hAnsiTheme="minorBidi" w:cstheme="minorBidi"/>
                      <w:sz w:val="20"/>
                      <w:szCs w:val="20"/>
                    </w:rPr>
                    <w:t>Transpl</w:t>
                  </w:r>
                  <w:proofErr w:type="spellEnd"/>
                  <w:r w:rsidRPr="00210000">
                    <w:rPr>
                      <w:rFonts w:asciiTheme="minorBidi" w:hAnsiTheme="minorBidi" w:cstheme="minorBidi"/>
                      <w:sz w:val="20"/>
                      <w:szCs w:val="20"/>
                    </w:rPr>
                    <w:t>. 2016;27(1):135-8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DB0705" w:rsidRDefault="00DB0705" w:rsidP="00F1758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504FE7" w:rsidRDefault="00842E86" w:rsidP="00504FE7">
                  <w:pPr>
                    <w:pStyle w:val="NoSpacing"/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4E175B">
                    <w:rPr>
                      <w:rFonts w:ascii="Arial" w:hAnsi="Arial"/>
                      <w:noProof/>
                      <w:sz w:val="20"/>
                      <w:szCs w:val="20"/>
                      <w:lang w:bidi="ar-IQ"/>
                    </w:rPr>
                    <w:t xml:space="preserve">Sali Si, </w:t>
                  </w:r>
                  <w:r w:rsidRPr="008F14FB">
                    <w:rPr>
                      <w:rFonts w:ascii="Arial" w:hAnsi="Arial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Merza MA</w:t>
                  </w:r>
                  <w:r w:rsidRPr="004E175B">
                    <w:rPr>
                      <w:rFonts w:ascii="Arial" w:hAnsi="Arial"/>
                      <w:noProof/>
                      <w:sz w:val="20"/>
                      <w:szCs w:val="20"/>
                      <w:lang w:bidi="ar-IQ"/>
                    </w:rPr>
                    <w:t>, Saadat S, Mustafa NH, Queiky F, Yadegarynia</w:t>
                  </w:r>
                  <w:r w:rsidRPr="004E175B">
                    <w:rPr>
                      <w:rFonts w:ascii="Arial" w:hAnsi="Arial"/>
                      <w:sz w:val="20"/>
                      <w:szCs w:val="20"/>
                    </w:rPr>
                    <w:t xml:space="preserve"> D. </w:t>
                  </w:r>
                  <w:r w:rsidRPr="004E175B">
                    <w:rPr>
                      <w:rStyle w:val="jrnl"/>
                      <w:rFonts w:ascii="Arial" w:hAnsi="Arial"/>
                      <w:sz w:val="20"/>
                      <w:szCs w:val="20"/>
                    </w:rPr>
                    <w:t xml:space="preserve">Glob J Health </w:t>
                  </w:r>
                  <w:proofErr w:type="spellStart"/>
                  <w:r w:rsidRPr="004E175B">
                    <w:rPr>
                      <w:rStyle w:val="jrnl"/>
                      <w:rFonts w:ascii="Arial" w:hAnsi="Arial"/>
                      <w:sz w:val="20"/>
                      <w:szCs w:val="20"/>
                    </w:rPr>
                    <w:t>Sci</w:t>
                  </w:r>
                  <w:proofErr w:type="spellEnd"/>
                  <w:r w:rsidRPr="004E175B">
                    <w:rPr>
                      <w:rFonts w:ascii="Arial" w:hAnsi="Arial"/>
                      <w:sz w:val="20"/>
                      <w:szCs w:val="20"/>
                    </w:rPr>
                    <w:t>; 2015: 7(6): 101-104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DB0705" w:rsidP="00F17589">
                  <w:pPr>
                    <w:bidi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842E86" w:rsidRDefault="00842E86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Sali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S, </w:t>
                  </w: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Sharafi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H, </w:t>
                  </w: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Alavian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SH, </w:t>
                  </w: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Alavian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SM, </w:t>
                  </w: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Etesam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F, </w:t>
                  </w: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Salimi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S, </w:t>
                  </w:r>
                  <w:proofErr w:type="spellStart"/>
                  <w:r w:rsidRPr="008F14F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8F14F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Keshvari</w:t>
                  </w:r>
                  <w:proofErr w:type="spellEnd"/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 xml:space="preserve"> M. </w:t>
                  </w:r>
                  <w:hyperlink r:id="rId10" w:history="1">
                    <w:r w:rsidRPr="004E175B">
                      <w:rPr>
                        <w:rStyle w:val="Hyperlink"/>
                        <w:rFonts w:ascii="Arial" w:hAnsi="Arial" w:cs="Arial"/>
                        <w:sz w:val="20"/>
                      </w:rPr>
                      <w:t xml:space="preserve">Can serum level of </w:t>
                    </w:r>
                    <w:proofErr w:type="spellStart"/>
                    <w:r w:rsidRPr="004E175B">
                      <w:rPr>
                        <w:rStyle w:val="Hyperlink"/>
                        <w:rFonts w:ascii="Arial" w:hAnsi="Arial" w:cs="Arial"/>
                        <w:sz w:val="20"/>
                      </w:rPr>
                      <w:t>HBsAg</w:t>
                    </w:r>
                    <w:proofErr w:type="spellEnd"/>
                    <w:r w:rsidRPr="004E175B">
                      <w:rPr>
                        <w:rStyle w:val="Hyperlink"/>
                        <w:rFonts w:ascii="Arial" w:hAnsi="Arial" w:cs="Arial"/>
                        <w:sz w:val="20"/>
                      </w:rPr>
                      <w:t xml:space="preserve"> differentiate </w:t>
                    </w:r>
                    <w:proofErr w:type="spellStart"/>
                    <w:r w:rsidRPr="004E175B">
                      <w:rPr>
                        <w:rStyle w:val="Hyperlink"/>
                        <w:rFonts w:ascii="Arial" w:hAnsi="Arial" w:cs="Arial"/>
                        <w:sz w:val="20"/>
                      </w:rPr>
                      <w:t>HBeAg</w:t>
                    </w:r>
                    <w:proofErr w:type="spellEnd"/>
                    <w:r w:rsidRPr="004E175B">
                      <w:rPr>
                        <w:rStyle w:val="Hyperlink"/>
                        <w:rFonts w:ascii="Arial" w:hAnsi="Arial" w:cs="Arial"/>
                        <w:sz w:val="20"/>
                      </w:rPr>
                      <w:t>-negative chronic hepatitis B from inactive carrier state?</w:t>
                    </w:r>
                  </w:hyperlink>
                  <w:r w:rsidRPr="004E175B">
                    <w:rPr>
                      <w:rStyle w:val="Hyperlink"/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E175B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Diagn</w:t>
                  </w:r>
                  <w:proofErr w:type="spellEnd"/>
                  <w:r w:rsidRPr="004E175B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75B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Microbiol</w:t>
                  </w:r>
                  <w:proofErr w:type="spellEnd"/>
                  <w:r w:rsidRPr="004E175B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 xml:space="preserve"> Infect Dis</w:t>
                  </w:r>
                  <w:r w:rsidRPr="004E175B">
                    <w:rPr>
                      <w:rFonts w:ascii="Arial" w:hAnsi="Arial" w:cs="Arial"/>
                      <w:sz w:val="20"/>
                      <w:szCs w:val="20"/>
                    </w:rPr>
                    <w:t>. 2015</w:t>
                  </w:r>
                  <w:r w:rsidRPr="004E175B">
                    <w:rPr>
                      <w:rStyle w:val="Emphasis"/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DB0705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842E86" w:rsidRDefault="00842E86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762970">
                    <w:rPr>
                      <w:rStyle w:val="Emphasis"/>
                      <w:rFonts w:ascii="Arial" w:hAnsi="Arial" w:cs="Arial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Merza</w:t>
                  </w:r>
                  <w:proofErr w:type="spellEnd"/>
                  <w:r w:rsidRPr="00762970">
                    <w:rPr>
                      <w:rStyle w:val="Emphasis"/>
                      <w:rFonts w:ascii="Arial" w:hAnsi="Arial" w:cs="Arial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 MA</w:t>
                  </w:r>
                  <w:r w:rsidRPr="00762970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 xml:space="preserve">. Risk factors for multi-drug resistant tuberculosis of afghan immigrants in a tertiary care hospitalized tuberculosis patients in Iran. </w:t>
                  </w:r>
                  <w:r w:rsidRPr="00762970">
                    <w:rPr>
                      <w:rFonts w:ascii="Arial" w:hAnsi="Arial" w:cs="Arial"/>
                      <w:sz w:val="20"/>
                      <w:szCs w:val="20"/>
                    </w:rPr>
                    <w:t>IJCR 2015:7(1):12032-12</w:t>
                  </w:r>
                  <w:r w:rsidRPr="00762970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035.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DB0705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842E86" w:rsidRDefault="00842E86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7724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D7724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 xml:space="preserve">, Hassan WM, Muhammad AS. Frequency of HBV and HCV among Patients Undergoing Elective Surgery in a Tertiary Care Referral Hospital in </w:t>
                  </w:r>
                  <w:proofErr w:type="spellStart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>Duhok</w:t>
                  </w:r>
                  <w:proofErr w:type="spellEnd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 xml:space="preserve">, Iraqi </w:t>
                  </w:r>
                  <w:proofErr w:type="spellStart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>Kurdistan.JMSCR</w:t>
                  </w:r>
                  <w:proofErr w:type="spellEnd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 xml:space="preserve"> 2014:2(4):1810-1815.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DB0705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</w:tc>
            </w:tr>
            <w:tr w:rsidR="00736606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736606" w:rsidRPr="00736606" w:rsidRDefault="00736606" w:rsidP="0073660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7724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D7724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 xml:space="preserve">, Hassan WM, Muhammad AS. Frequency of HBV and HCV among Patients Undergoing Elective Surgery in a Tertiary Care Referral Hospital in </w:t>
                  </w:r>
                  <w:proofErr w:type="spellStart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>Duhok</w:t>
                  </w:r>
                  <w:proofErr w:type="spellEnd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 xml:space="preserve">, Iraqi </w:t>
                  </w:r>
                  <w:proofErr w:type="spellStart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>Kurdistan.JMSCR</w:t>
                  </w:r>
                  <w:proofErr w:type="spellEnd"/>
                  <w:r w:rsidRPr="00C51662">
                    <w:rPr>
                      <w:rFonts w:ascii="Arial" w:hAnsi="Arial" w:cs="Arial"/>
                      <w:sz w:val="20"/>
                      <w:szCs w:val="20"/>
                    </w:rPr>
                    <w:t xml:space="preserve"> 2014:2(4):1810-1815.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736606" w:rsidRPr="00B0672B" w:rsidRDefault="00DB0705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504FE7" w:rsidRDefault="00842E86" w:rsidP="00504FE7">
                  <w:pPr>
                    <w:pStyle w:val="NoSpacing"/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51662">
                    <w:rPr>
                      <w:rFonts w:ascii="Arial" w:hAnsi="Arial"/>
                      <w:sz w:val="20"/>
                      <w:szCs w:val="20"/>
                    </w:rPr>
                    <w:t>Velayati</w:t>
                  </w:r>
                  <w:proofErr w:type="spellEnd"/>
                  <w:r w:rsidRPr="00C51662">
                    <w:rPr>
                      <w:rFonts w:ascii="Arial" w:hAnsi="Arial"/>
                      <w:sz w:val="20"/>
                      <w:szCs w:val="20"/>
                    </w:rPr>
                    <w:t xml:space="preserve"> AA, </w:t>
                  </w:r>
                  <w:proofErr w:type="spellStart"/>
                  <w:r w:rsidRPr="00D7724F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D7724F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C51662">
                    <w:rPr>
                      <w:rFonts w:ascii="Arial" w:hAnsi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1662">
                    <w:rPr>
                      <w:rFonts w:ascii="Arial" w:hAnsi="Arial"/>
                      <w:sz w:val="20"/>
                      <w:szCs w:val="20"/>
                    </w:rPr>
                    <w:t>Frania</w:t>
                  </w:r>
                  <w:proofErr w:type="spellEnd"/>
                  <w:r w:rsidRPr="00C51662">
                    <w:rPr>
                      <w:rFonts w:ascii="Arial" w:hAnsi="Arial"/>
                      <w:sz w:val="20"/>
                      <w:szCs w:val="20"/>
                    </w:rPr>
                    <w:t xml:space="preserve"> P. </w:t>
                  </w:r>
                  <w:r w:rsidRPr="00582ADB">
                    <w:rPr>
                      <w:rFonts w:ascii="Arial" w:hAnsi="Arial"/>
                      <w:sz w:val="20"/>
                      <w:szCs w:val="20"/>
                    </w:rPr>
                    <w:t xml:space="preserve">Association of P2X7 gene polymorphisms with chronic hepatitis B virus infection in </w:t>
                  </w:r>
                  <w:proofErr w:type="spellStart"/>
                  <w:r w:rsidRPr="00582ADB">
                    <w:rPr>
                      <w:rFonts w:ascii="Arial" w:hAnsi="Arial"/>
                      <w:sz w:val="20"/>
                      <w:szCs w:val="20"/>
                    </w:rPr>
                    <w:t>Duhok</w:t>
                  </w:r>
                  <w:proofErr w:type="spellEnd"/>
                  <w:r w:rsidRPr="00582ADB">
                    <w:rPr>
                      <w:rFonts w:ascii="Arial" w:hAnsi="Arial"/>
                      <w:sz w:val="20"/>
                      <w:szCs w:val="20"/>
                    </w:rPr>
                    <w:t xml:space="preserve">, Iraqi Kurdistan. </w:t>
                  </w:r>
                  <w:r w:rsidRPr="006C6F2E">
                    <w:rPr>
                      <w:rStyle w:val="Strong"/>
                      <w:rFonts w:ascii="Arial" w:hAnsi="Arial"/>
                      <w:b w:val="0"/>
                      <w:bCs w:val="0"/>
                      <w:sz w:val="20"/>
                      <w:szCs w:val="20"/>
                    </w:rPr>
                    <w:t>International Journal of Sciences: Basic and Applied Research (IJSBAR)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2014:16(2): 131-137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DB0705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7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504FE7" w:rsidRDefault="00842E86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91CB7">
                    <w:t>Yadegarynia</w:t>
                  </w:r>
                  <w:proofErr w:type="spellEnd"/>
                  <w:r w:rsidRPr="00091CB7">
                    <w:t xml:space="preserve"> D, </w:t>
                  </w:r>
                  <w:proofErr w:type="spellStart"/>
                  <w:r w:rsidRPr="00DF2D8F">
                    <w:rPr>
                      <w:b/>
                      <w:bCs/>
                    </w:rPr>
                    <w:t>Merza</w:t>
                  </w:r>
                  <w:proofErr w:type="spellEnd"/>
                  <w:r w:rsidRPr="00DF2D8F">
                    <w:rPr>
                      <w:b/>
                      <w:bCs/>
                    </w:rPr>
                    <w:t xml:space="preserve"> MA</w:t>
                  </w:r>
                  <w:r w:rsidRPr="00091CB7">
                    <w:t xml:space="preserve">, </w:t>
                  </w:r>
                  <w:proofErr w:type="spellStart"/>
                  <w:r w:rsidRPr="00091CB7">
                    <w:t>Sali</w:t>
                  </w:r>
                  <w:proofErr w:type="spellEnd"/>
                  <w:r w:rsidRPr="00091CB7">
                    <w:t xml:space="preserve"> </w:t>
                  </w:r>
                  <w:proofErr w:type="spellStart"/>
                  <w:r w:rsidRPr="00091CB7">
                    <w:t>Sh</w:t>
                  </w:r>
                  <w:proofErr w:type="spellEnd"/>
                  <w:r w:rsidRPr="00091CB7">
                    <w:t xml:space="preserve">, </w:t>
                  </w:r>
                  <w:hyperlink r:id="rId11" w:tooltip="Search for all articles by this author" w:history="1">
                    <w:proofErr w:type="spellStart"/>
                    <w:r w:rsidRPr="00091CB7">
                      <w:rPr>
                        <w:rStyle w:val="Hyperlink"/>
                      </w:rPr>
                      <w:t>Firuzkuhi</w:t>
                    </w:r>
                    <w:proofErr w:type="spellEnd"/>
                  </w:hyperlink>
                  <w:r w:rsidRPr="00091CB7">
                    <w:t xml:space="preserve"> AG. A rare case presentation of oral </w:t>
                  </w:r>
                  <w:proofErr w:type="spellStart"/>
                  <w:r w:rsidRPr="00091CB7">
                    <w:t>actinomycosis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IJMyco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; 2013; 2(3): 187-189.</w:t>
                  </w:r>
                  <w:r w:rsidRPr="00FF4CB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736606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504FE7" w:rsidRDefault="00842E86" w:rsidP="00842E86">
                  <w:pPr>
                    <w:pStyle w:val="desc2"/>
                    <w:shd w:val="clear" w:color="auto" w:fill="FFFFFF"/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>Sali</w:t>
                  </w:r>
                  <w:proofErr w:type="spellEnd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>Sh</w:t>
                  </w:r>
                  <w:proofErr w:type="spellEnd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F2D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DF2D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>Yadegar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>nia</w:t>
                  </w:r>
                  <w:proofErr w:type="spellEnd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 xml:space="preserve"> D. Occupational Exposure to Blood Borne Viruses Among Healthcare Workers in a Tertiary Care Referral Hospital in Tehran. </w:t>
                  </w:r>
                  <w:proofErr w:type="spellStart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>Hepat</w:t>
                  </w:r>
                  <w:proofErr w:type="spellEnd"/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 xml:space="preserve"> Mon. 2013. 13(7):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91CB7">
                    <w:rPr>
                      <w:rFonts w:ascii="Arial" w:hAnsi="Arial" w:cs="Arial"/>
                      <w:sz w:val="20"/>
                      <w:szCs w:val="20"/>
                    </w:rPr>
                    <w:t>e12201. DOI: 10.5812/hepatmon.12201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736606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9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0F5F8F" w:rsidRDefault="00842E86" w:rsidP="00504FE7">
                  <w:pPr>
                    <w:pStyle w:val="NoSpacing"/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Abdullah SM, Hussein NR, </w:t>
                  </w:r>
                  <w:proofErr w:type="spellStart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Salih</w:t>
                  </w:r>
                  <w:proofErr w:type="spell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 AM, </w:t>
                  </w:r>
                  <w:proofErr w:type="spellStart"/>
                  <w:r w:rsidRPr="00A4324D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A4324D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Goreal</w:t>
                  </w:r>
                  <w:proofErr w:type="spell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 AA, </w:t>
                  </w:r>
                  <w:proofErr w:type="spellStart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Odeesh</w:t>
                  </w:r>
                  <w:proofErr w:type="spell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 OY,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et al. </w:t>
                  </w:r>
                  <w:hyperlink r:id="rId12" w:history="1">
                    <w:r w:rsidRPr="00A4324D">
                      <w:rPr>
                        <w:rFonts w:ascii="Arial" w:hAnsi="Arial"/>
                        <w:sz w:val="20"/>
                        <w:szCs w:val="20"/>
                      </w:rPr>
                      <w:t xml:space="preserve">Infection with Helicobacter pylori strains carrying babA2 and </w:t>
                    </w:r>
                    <w:proofErr w:type="spellStart"/>
                    <w:r w:rsidRPr="00A4324D">
                      <w:rPr>
                        <w:rFonts w:ascii="Arial" w:hAnsi="Arial"/>
                        <w:sz w:val="20"/>
                        <w:szCs w:val="20"/>
                      </w:rPr>
                      <w:t>cagA</w:t>
                    </w:r>
                    <w:proofErr w:type="spellEnd"/>
                    <w:r w:rsidRPr="00A4324D">
                      <w:rPr>
                        <w:rFonts w:ascii="Arial" w:hAnsi="Arial"/>
                        <w:sz w:val="20"/>
                        <w:szCs w:val="20"/>
                      </w:rPr>
                      <w:t xml:space="preserve"> is associated with an increased risk of peptic ulcer disease development in Iraq.</w:t>
                    </w:r>
                  </w:hyperlink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A4324D">
                    <w:rPr>
                      <w:rStyle w:val="jrnl"/>
                      <w:rFonts w:ascii="Arial" w:hAnsi="Arial"/>
                      <w:sz w:val="20"/>
                      <w:szCs w:val="20"/>
                    </w:rPr>
                    <w:t xml:space="preserve">Arab J </w:t>
                  </w:r>
                  <w:proofErr w:type="spellStart"/>
                  <w:r w:rsidRPr="00A4324D">
                    <w:rPr>
                      <w:rStyle w:val="jrnl"/>
                      <w:rFonts w:ascii="Arial" w:hAnsi="Arial"/>
                      <w:sz w:val="20"/>
                      <w:szCs w:val="20"/>
                    </w:rPr>
                    <w:t>Gastroenterol</w:t>
                  </w:r>
                  <w:proofErr w:type="spell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. 2012 Dec</w:t>
                  </w:r>
                  <w:proofErr w:type="gramStart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;13</w:t>
                  </w:r>
                  <w:proofErr w:type="gram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(4):166-9. </w:t>
                  </w:r>
                  <w:proofErr w:type="spellStart"/>
                  <w:proofErr w:type="gramStart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doi</w:t>
                  </w:r>
                  <w:proofErr w:type="spellEnd"/>
                  <w:proofErr w:type="gram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: 10.1016/j.ajg.2012.12.001. </w:t>
                  </w:r>
                  <w:proofErr w:type="spellStart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>Epub</w:t>
                  </w:r>
                  <w:proofErr w:type="spellEnd"/>
                  <w:r w:rsidRPr="00A4324D">
                    <w:rPr>
                      <w:rFonts w:ascii="Arial" w:hAnsi="Arial"/>
                      <w:sz w:val="20"/>
                      <w:szCs w:val="20"/>
                    </w:rPr>
                    <w:t xml:space="preserve"> 2013 Jan 8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736606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  <w:tr w:rsidR="000F5F8F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0F5F8F" w:rsidRPr="00842E86" w:rsidRDefault="000F5F8F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Rosales S, </w:t>
                  </w:r>
                  <w:proofErr w:type="spellStart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Jureen</w:t>
                  </w:r>
                  <w:proofErr w:type="spellEnd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Zalutskayae</w:t>
                  </w:r>
                  <w:proofErr w:type="spellEnd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 A, </w:t>
                  </w:r>
                  <w:proofErr w:type="spellStart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Skrahina</w:t>
                  </w:r>
                  <w:proofErr w:type="spellEnd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 A, </w:t>
                  </w:r>
                  <w:proofErr w:type="spellStart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Xu</w:t>
                  </w:r>
                  <w:proofErr w:type="spellEnd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 B, </w:t>
                  </w:r>
                  <w:proofErr w:type="spellStart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Hu</w:t>
                  </w:r>
                  <w:proofErr w:type="spellEnd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 Y, Pineda-Garcia L, </w:t>
                  </w:r>
                  <w:proofErr w:type="spellStart"/>
                  <w:r w:rsidRPr="00AC4BE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AC4BE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 xml:space="preserve">, et al. </w:t>
                  </w:r>
                  <w:hyperlink r:id="rId13" w:history="1">
                    <w:r w:rsidRPr="00AC4BE3">
                      <w:rPr>
                        <w:rStyle w:val="Hyperlink"/>
                        <w:rFonts w:ascii="Arial" w:hAnsi="Arial" w:cs="Arial"/>
                        <w:sz w:val="20"/>
                      </w:rPr>
                      <w:t>Drug resistance-related mutations in multidrug-resistant Mycobacterium tuberculosis isolates from diverse geographical regions</w:t>
                    </w:r>
                  </w:hyperlink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. 2012</w:t>
                  </w:r>
                  <w:proofErr w:type="gramStart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;3:124</w:t>
                  </w:r>
                  <w:proofErr w:type="gramEnd"/>
                  <w:r w:rsidRPr="00AC4BE3">
                    <w:rPr>
                      <w:rFonts w:ascii="Arial" w:hAnsi="Arial" w:cs="Arial"/>
                      <w:sz w:val="20"/>
                      <w:szCs w:val="20"/>
                    </w:rPr>
                    <w:t>-130.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0F5F8F" w:rsidRPr="00B0672B" w:rsidRDefault="00842E86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pStyle w:val="NoSpacing"/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/>
                      <w:sz w:val="20"/>
                      <w:szCs w:val="20"/>
                      <w:rtl/>
                      <w:lang w:val="en-US"/>
                    </w:rPr>
                  </w:pPr>
                  <w:proofErr w:type="spellStart"/>
                  <w:r w:rsidRPr="00504FE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Salih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AM,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Masjedi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MR,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Velayati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AA. </w:t>
                  </w:r>
                  <w:hyperlink r:id="rId14" w:history="1"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 xml:space="preserve">The most predominant </w:t>
                    </w:r>
                    <w:proofErr w:type="spellStart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>Spoligopatterns</w:t>
                    </w:r>
                    <w:proofErr w:type="spellEnd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 xml:space="preserve"> of Mycobacterium tuberculosis isolates among Iranian, Afghan-Immigrant, Pakistani and Turkish tuberculosis patients: a comparative analysis.</w:t>
                    </w:r>
                  </w:hyperlink>
                  <w:r w:rsidRPr="00504FE7">
                    <w:rPr>
                      <w:rStyle w:val="Heading3Char"/>
                      <w:rFonts w:eastAsia="Calibri"/>
                      <w:b/>
                      <w:bCs/>
                      <w:sz w:val="20"/>
                    </w:rPr>
                    <w:t xml:space="preserve"> </w:t>
                  </w:r>
                  <w:r w:rsidRPr="00504FE7">
                    <w:rPr>
                      <w:rFonts w:ascii="Arial" w:hAnsi="Arial"/>
                      <w:sz w:val="20"/>
                      <w:szCs w:val="20"/>
                    </w:rPr>
                    <w:t>Chemotherapy 2010</w:t>
                  </w:r>
                  <w:proofErr w:type="gram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;56:248</w:t>
                  </w:r>
                  <w:proofErr w:type="gram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-257.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pStyle w:val="NoSpacing"/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/>
                      <w:sz w:val="20"/>
                      <w:szCs w:val="20"/>
                      <w:rtl/>
                      <w:lang w:val="en-US"/>
                    </w:rPr>
                  </w:pPr>
                  <w:proofErr w:type="spellStart"/>
                  <w:r w:rsidRPr="00504FE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Masjedi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MR,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Ridell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M. Anti-tuberculosis drug resistance in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Duhok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, Iraq. </w:t>
                  </w:r>
                  <w:hyperlink r:id="rId15" w:tooltip="The international journal of tuberculosis and lung disease : the official journal of the International Union against Tuberculosis and Lung Disease." w:history="1">
                    <w:proofErr w:type="spellStart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>Int</w:t>
                    </w:r>
                    <w:proofErr w:type="spellEnd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 xml:space="preserve"> J </w:t>
                    </w:r>
                    <w:proofErr w:type="spellStart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>Tuberc</w:t>
                    </w:r>
                    <w:proofErr w:type="spellEnd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 xml:space="preserve"> Lung </w:t>
                    </w:r>
                    <w:proofErr w:type="spellStart"/>
                    <w:r w:rsidRPr="00504FE7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>Dis</w:t>
                    </w:r>
                    <w:proofErr w:type="spellEnd"/>
                  </w:hyperlink>
                  <w:r w:rsidRPr="00504FE7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 xml:space="preserve"> 2010</w:t>
                  </w:r>
                  <w:proofErr w:type="gramStart"/>
                  <w:r w:rsidRPr="00504FE7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>;14:1213</w:t>
                  </w:r>
                  <w:proofErr w:type="gramEnd"/>
                  <w:r w:rsidRPr="00504FE7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 xml:space="preserve">-1214. 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shd w:val="clear" w:color="auto" w:fill="FFFFFF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Anoosheh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S,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Varahram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 M,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Kazampour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Pajand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O et al. The NRAMPI, VDR and TNF-alpha gene polymorphisms in Iranian tuberculosis patients: the study on host susceptibility.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Braz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J Infect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Dis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2009; 13:252-256. 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504FE7" w:rsidRDefault="00EF7BA0" w:rsidP="00504FE7">
                  <w:pPr>
                    <w:shd w:val="clear" w:color="auto" w:fill="FFFFFF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Salih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AM, </w:t>
                  </w: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. Risk factors for multidrug resistant tuberculosis: a review.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Duhok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Med J 2010; 4(2):1-7.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Varahram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Anoosheh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S,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Kazampour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M, </w:t>
                  </w: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Saeif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S, et al. The VDR and TNF-α gene polymorphisms in Iranian tuberculosis patients: The study on host susceptibility. Iranian Journal of Clinical Infectious Diseases 2009;4:207-213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BF4B3C" w:rsidP="00842E86">
                  <w:pPr>
                    <w:pStyle w:val="citation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6" w:history="1">
                    <w:proofErr w:type="spellStart"/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Farnia</w:t>
                    </w:r>
                    <w:proofErr w:type="spellEnd"/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P</w:t>
                    </w:r>
                  </w:hyperlink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17" w:history="1"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Mohammad RM</w:t>
                    </w:r>
                  </w:hyperlink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18" w:history="1">
                    <w:proofErr w:type="spellStart"/>
                    <w:r w:rsidR="00EF7BA0" w:rsidRPr="00504FE7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  <w:sz w:val="20"/>
                        <w:u w:val="none"/>
                      </w:rPr>
                      <w:t>Merza</w:t>
                    </w:r>
                    <w:proofErr w:type="spellEnd"/>
                    <w:r w:rsidR="00EF7BA0" w:rsidRPr="00504FE7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  <w:sz w:val="20"/>
                        <w:u w:val="none"/>
                      </w:rPr>
                      <w:t xml:space="preserve"> MA</w:t>
                    </w:r>
                  </w:hyperlink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19" w:history="1">
                    <w:proofErr w:type="spellStart"/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Tabarsi</w:t>
                    </w:r>
                    <w:proofErr w:type="spellEnd"/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P</w:t>
                    </w:r>
                  </w:hyperlink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0" w:history="1">
                    <w:proofErr w:type="spellStart"/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Zhavnerko</w:t>
                    </w:r>
                    <w:proofErr w:type="spellEnd"/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GK</w:t>
                    </w:r>
                  </w:hyperlink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1" w:history="1">
                    <w:r w:rsidR="00EF7BA0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Ibrahim TA</w:t>
                    </w:r>
                  </w:hyperlink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et al. Growth and cell-division in extensive (XDR) and extremely drug resistant (XXDR) tuberculosis strains: transmission and atomic force observation. </w:t>
                  </w:r>
                  <w:proofErr w:type="spellStart"/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>Int</w:t>
                  </w:r>
                  <w:proofErr w:type="spellEnd"/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J </w:t>
                  </w:r>
                  <w:proofErr w:type="spellStart"/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>Clin</w:t>
                  </w:r>
                  <w:proofErr w:type="spellEnd"/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Exp Med 2010</w:t>
                  </w:r>
                  <w:proofErr w:type="gramStart"/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>;3:308</w:t>
                  </w:r>
                  <w:proofErr w:type="gramEnd"/>
                  <w:r w:rsidR="00EF7BA0" w:rsidRPr="00504FE7">
                    <w:rPr>
                      <w:rFonts w:ascii="Arial" w:hAnsi="Arial" w:cs="Arial"/>
                      <w:sz w:val="20"/>
                      <w:szCs w:val="20"/>
                    </w:rPr>
                    <w:t>-314.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7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Jafarian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M, </w:t>
                  </w: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Ahmadi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Masjedi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MR,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Velayati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AA. Synchronous Comparison of Mycobacterium tuberculosis Epidemiology Strains by "MIRU-VNTR" and "MIRU-VNTR and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Spoligotyping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" Technique. Avicenna Journal of Medical Biotechnology 2010</w:t>
                  </w:r>
                  <w:proofErr w:type="gram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;2:145</w:t>
                  </w:r>
                  <w:proofErr w:type="gram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-152.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Tabarsi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Marjani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M. Active pulmonary tuberculosis manifesting with idiopathic thrombocytopenic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purpura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: a rare presentation.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Braz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J Infect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Dis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2010</w:t>
                  </w:r>
                  <w:proofErr w:type="gram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;14:639</w:t>
                  </w:r>
                  <w:proofErr w:type="gram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-640</w:t>
                  </w:r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9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EF7BA0" w:rsidP="00842E86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Salih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AM,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Masjedi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MR,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Velayati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AA. First insight into the drug resistance pattern of Mycobacterium tuberculosis in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Dohuk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Iraq: using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spoligotyping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and MIRU-VNTR to characterize multidrug resistant strains. </w:t>
                  </w:r>
                  <w:hyperlink r:id="rId22" w:tooltip="Journal of infection and public health." w:history="1">
                    <w:r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J Infect Public Health</w:t>
                    </w:r>
                  </w:hyperlink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2011</w:t>
                  </w:r>
                  <w:proofErr w:type="gram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;4:41</w:t>
                  </w:r>
                  <w:proofErr w:type="gram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-47</w:t>
                  </w:r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73660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504FE7" w:rsidRDefault="00EF7BA0" w:rsidP="00EF7BA0">
                  <w:pPr>
                    <w:rPr>
                      <w:rtl/>
                      <w:lang w:bidi="ar-IQ"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Tabarsi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Kazampour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Masjedi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MR,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Velayati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AA. Anti-tuberculosis d</w:t>
                  </w:r>
                  <w:r w:rsidRPr="00504FE7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rug resistance and associated risk factors in a tertiary level TB center in Iran: a retrospective analysis. </w:t>
                  </w:r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 xml:space="preserve">J Infect Dev </w:t>
                  </w:r>
                  <w:proofErr w:type="spellStart"/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Ctries</w:t>
                  </w:r>
                  <w:proofErr w:type="spellEnd"/>
                  <w:r w:rsidRPr="00504FE7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2011; 5(7):511-519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504FE7" w:rsidP="00842E86">
                  <w:pPr>
                    <w:pStyle w:val="NoSpacing"/>
                    <w:shd w:val="clear" w:color="auto" w:fill="FFFFFF"/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proofErr w:type="spellStart"/>
                  <w:r w:rsidRPr="00504FE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M</w:t>
                  </w:r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>Masjedi</w:t>
                  </w:r>
                  <w:proofErr w:type="spellEnd"/>
                  <w:r w:rsidRPr="00504FE7">
                    <w:rPr>
                      <w:rFonts w:ascii="Arial" w:hAnsi="Arial"/>
                      <w:sz w:val="20"/>
                      <w:szCs w:val="20"/>
                    </w:rPr>
                    <w:t xml:space="preserve"> MR</w:t>
                  </w:r>
                  <w:r w:rsidRPr="00504FE7">
                    <w:rPr>
                      <w:rFonts w:ascii="Arial" w:eastAsia="Batang" w:hAnsi="Arial"/>
                      <w:sz w:val="20"/>
                      <w:szCs w:val="20"/>
                    </w:rPr>
                    <w:t>. Extensively drug-resistant tuberculosis (XDR) and extremely drug-resistant tuberculosis (XXDR): risk factors and molecular perspectives. Iranian Journal of Clinical Infectious Diseases 2010</w:t>
                  </w:r>
                  <w:r w:rsidRPr="00504FE7">
                    <w:rPr>
                      <w:rFonts w:ascii="Arial" w:hAnsi="Arial"/>
                      <w:sz w:val="20"/>
                      <w:szCs w:val="20"/>
                    </w:rPr>
                    <w:t>; 5(3):174-188</w:t>
                  </w:r>
                  <w:r w:rsidRPr="00504FE7">
                    <w:rPr>
                      <w:rStyle w:val="jrnl"/>
                      <w:rFonts w:ascii="Arial" w:hAnsi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504FE7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Velayati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AA,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Farnia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Zhavnerko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GK,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Tabarsi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P, </w:t>
                  </w:r>
                  <w:proofErr w:type="spellStart"/>
                  <w:proofErr w:type="gram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Titov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LP, et al. </w:t>
                  </w:r>
                  <w:hyperlink r:id="rId23" w:history="1">
                    <w:r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New</w:t>
                    </w:r>
                    <w:proofErr w:type="gramEnd"/>
                    <w:r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insight into extremely drug-resistant tuberculosis: using atomic force microscopy.</w:t>
                    </w:r>
                  </w:hyperlink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Eur</w:t>
                  </w:r>
                  <w:proofErr w:type="spellEnd"/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>Respir</w:t>
                  </w:r>
                  <w:proofErr w:type="spellEnd"/>
                  <w:r w:rsidRPr="00504FE7">
                    <w:rPr>
                      <w:rStyle w:val="jrnl"/>
                      <w:rFonts w:ascii="Arial" w:hAnsi="Arial" w:cs="Arial"/>
                      <w:sz w:val="20"/>
                      <w:szCs w:val="20"/>
                    </w:rPr>
                    <w:t xml:space="preserve"> J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 2010</w:t>
                  </w:r>
                  <w:proofErr w:type="gram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;36</w:t>
                  </w:r>
                  <w:proofErr w:type="gram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(6):1490-1493. 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BF4B3C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24" w:history="1">
                    <w:proofErr w:type="spellStart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Velayati</w:t>
                    </w:r>
                    <w:proofErr w:type="spellEnd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AA</w:t>
                    </w:r>
                  </w:hyperlink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5" w:history="1">
                    <w:proofErr w:type="spellStart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Farnia</w:t>
                    </w:r>
                    <w:proofErr w:type="spellEnd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P</w:t>
                    </w:r>
                  </w:hyperlink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6" w:history="1">
                    <w:proofErr w:type="spellStart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Masjedi</w:t>
                    </w:r>
                    <w:proofErr w:type="spellEnd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MR</w:t>
                    </w:r>
                  </w:hyperlink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7" w:history="1">
                    <w:proofErr w:type="spellStart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Zhavnerko</w:t>
                    </w:r>
                    <w:proofErr w:type="spellEnd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GK</w:t>
                    </w:r>
                  </w:hyperlink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8" w:history="1">
                    <w:proofErr w:type="spellStart"/>
                    <w:r w:rsidR="00504FE7" w:rsidRPr="00504FE7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  <w:sz w:val="20"/>
                        <w:u w:val="none"/>
                      </w:rPr>
                      <w:t>Merza</w:t>
                    </w:r>
                    <w:proofErr w:type="spellEnd"/>
                    <w:r w:rsidR="00504FE7" w:rsidRPr="00504FE7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  <w:sz w:val="20"/>
                        <w:u w:val="none"/>
                      </w:rPr>
                      <w:t xml:space="preserve"> MA</w:t>
                    </w:r>
                  </w:hyperlink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29" w:history="1">
                    <w:proofErr w:type="spellStart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Ghanavi</w:t>
                    </w:r>
                    <w:proofErr w:type="spellEnd"/>
                    <w:r w:rsidR="00504FE7" w:rsidRPr="00504FE7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 xml:space="preserve"> J</w:t>
                    </w:r>
                  </w:hyperlink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et al.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Sequential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adaptation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latent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tuberculosis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bacilli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observation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by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atomic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force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microscopy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="00504FE7" w:rsidRPr="00504FE7">
                    <w:rPr>
                      <w:rStyle w:val="highlight"/>
                      <w:rFonts w:ascii="Arial" w:hAnsi="Arial" w:cs="Arial"/>
                      <w:sz w:val="20"/>
                      <w:szCs w:val="20"/>
                    </w:rPr>
                    <w:t>AFM</w:t>
                  </w:r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). </w:t>
                  </w:r>
                  <w:proofErr w:type="spellStart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>Int</w:t>
                  </w:r>
                  <w:proofErr w:type="spellEnd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J </w:t>
                  </w:r>
                  <w:proofErr w:type="spellStart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>Clin</w:t>
                  </w:r>
                  <w:proofErr w:type="spellEnd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Exp Med; 2011</w:t>
                  </w:r>
                  <w:proofErr w:type="gramStart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>;4</w:t>
                  </w:r>
                  <w:proofErr w:type="gramEnd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(3):193-189. </w:t>
                  </w:r>
                  <w:proofErr w:type="spellStart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>Epub</w:t>
                  </w:r>
                  <w:proofErr w:type="spellEnd"/>
                  <w:r w:rsidR="00504FE7"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2011 Sep 15.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504FE7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Salih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AM</w:t>
                  </w:r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First insight into the genetic diversity of </w:t>
                  </w:r>
                  <w:r w:rsidRPr="00504FE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Mycobacterium tuberculosis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strains from patients in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Duhok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, Iraq.</w:t>
                  </w:r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IJMyco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 2012 (1)1: 13-20.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Pr="00842E86" w:rsidRDefault="00504FE7" w:rsidP="00842E86">
                  <w:pPr>
                    <w:pStyle w:val="desc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Merza</w:t>
                  </w:r>
                  <w:proofErr w:type="spellEnd"/>
                  <w:r w:rsidRPr="00504F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</w:t>
                  </w:r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Jabrial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FK, Hussein NR. Intestinal obstruction secondary to primary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ileocecal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 xml:space="preserve"> tuberculosis: A case report. </w:t>
                  </w:r>
                  <w:proofErr w:type="spellStart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IJMyco</w:t>
                  </w:r>
                  <w:proofErr w:type="spellEnd"/>
                  <w:r w:rsidRPr="00504FE7">
                    <w:rPr>
                      <w:rFonts w:ascii="Arial" w:hAnsi="Arial" w:cs="Arial"/>
                      <w:sz w:val="20"/>
                      <w:szCs w:val="20"/>
                    </w:rPr>
                    <w:t>; 2012. In press.  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842E86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36606"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c>
            </w:tr>
            <w:tr w:rsidR="00EF7BA0" w:rsidRPr="00B0672B" w:rsidTr="00F17589">
              <w:trPr>
                <w:trHeight w:val="350"/>
              </w:trPr>
              <w:tc>
                <w:tcPr>
                  <w:tcW w:w="10433" w:type="dxa"/>
                  <w:gridSpan w:val="4"/>
                  <w:shd w:val="clear" w:color="auto" w:fill="FFFFFF"/>
                </w:tcPr>
                <w:p w:rsidR="00EF7BA0" w:rsidRDefault="00EF7BA0" w:rsidP="00EF7BA0"/>
              </w:tc>
              <w:tc>
                <w:tcPr>
                  <w:tcW w:w="540" w:type="dxa"/>
                  <w:shd w:val="clear" w:color="auto" w:fill="FFFFFF"/>
                </w:tcPr>
                <w:p w:rsidR="00EF7BA0" w:rsidRPr="00B0672B" w:rsidRDefault="00EF7BA0" w:rsidP="00EF7BA0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ظةكولينيَن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ثةسةند بوون بو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بةلافكر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ن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>
                    <w:rPr>
                      <w:rFonts w:ascii="Arabic Typesetting" w:hAnsi="Arabic Typesetting" w:cs="Arabic Typesetting" w:hint="cs"/>
                      <w:szCs w:val="28"/>
                      <w:rtl/>
                    </w:rPr>
                    <w:t xml:space="preserve"> المقبولين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للنشر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493EC9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ناظ و نيشان</w:t>
                  </w:r>
                </w:p>
                <w:p w:rsidR="00906864" w:rsidRDefault="00906864" w:rsidP="00F17589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  <w:p w:rsidR="00906864" w:rsidRPr="00FB4CBD" w:rsidRDefault="00906864" w:rsidP="00F1758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231F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133EFE" w:rsidRDefault="00906864" w:rsidP="00F17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493EC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133EFE" w:rsidRDefault="00906864" w:rsidP="00F17589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F17589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133EFE" w:rsidRDefault="00906864" w:rsidP="00F17589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C058E5" w:rsidRDefault="00906864" w:rsidP="00AF5725">
                  <w:pPr>
                    <w:jc w:val="lowKashida"/>
                    <w:rPr>
                      <w:b/>
                      <w:bCs/>
                      <w:u w:val="single"/>
                      <w:rtl/>
                      <w:lang w:bidi="ar-IQ"/>
                    </w:rPr>
                  </w:pPr>
                  <w:r w:rsidRPr="00527679">
                    <w:rPr>
                      <w:rFonts w:ascii="TimesNewRomanPS-BoldMT" w:hAnsi="TimesNewRomanPS-BoldMT" w:cs="TimesNewRomanPS-BoldMT"/>
                    </w:rPr>
                    <w:t>.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C058E5" w:rsidRDefault="00906864" w:rsidP="00AF5725">
                  <w:pPr>
                    <w:autoSpaceDE w:val="0"/>
                    <w:autoSpaceDN w:val="0"/>
                    <w:adjustRightInd w:val="0"/>
                    <w:rPr>
                      <w:rFonts w:ascii="AdvOTa109402e.I" w:hAnsi="AdvOTa109402e.I" w:cs="AdvOTa109402e.I"/>
                      <w:color w:val="231F20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133EFE" w:rsidRDefault="00906864" w:rsidP="00F17589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133EFE" w:rsidRDefault="00906864" w:rsidP="00F17589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17589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FB4CBD" w:rsidRDefault="00906864" w:rsidP="00AF5725">
                  <w:pPr>
                    <w:jc w:val="both"/>
                    <w:rPr>
                      <w:color w:val="231F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A46695" w:rsidRDefault="00906864" w:rsidP="00AF57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133EFE" w:rsidRDefault="00906864" w:rsidP="00F17589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133EFE" w:rsidRDefault="00906864" w:rsidP="00F17589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F17589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اعمالي (تقديم المدرس لنفسه) :-</w:t>
            </w:r>
          </w:p>
          <w:p w:rsidR="00E97041" w:rsidRDefault="00E97041" w:rsidP="00E97041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E10F8B" w:rsidRPr="00E10F8B" w:rsidRDefault="00E10F8B" w:rsidP="00E10F8B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عميد كلية التمريض وكالة, جامعة دهوك.</w:t>
            </w:r>
          </w:p>
          <w:p w:rsidR="00E97041" w:rsidRDefault="00E97041" w:rsidP="00E10F8B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 xml:space="preserve">التدريس العملي و السريري في الامراض المعدية في </w:t>
            </w:r>
            <w:r w:rsidR="00E10F8B">
              <w:rPr>
                <w:rFonts w:hint="cs"/>
                <w:rtl/>
              </w:rPr>
              <w:t>كلية</w:t>
            </w:r>
            <w:r>
              <w:rPr>
                <w:rFonts w:hint="cs"/>
                <w:rtl/>
              </w:rPr>
              <w:t xml:space="preserve"> الطب و كذلك في </w:t>
            </w:r>
            <w:r w:rsidR="00E10F8B">
              <w:rPr>
                <w:rFonts w:hint="cs"/>
                <w:rtl/>
              </w:rPr>
              <w:t>كلية الاسنان</w:t>
            </w:r>
            <w:r>
              <w:rPr>
                <w:rFonts w:hint="cs"/>
                <w:rtl/>
              </w:rPr>
              <w:t>.</w:t>
            </w:r>
          </w:p>
          <w:p w:rsidR="00295A9B" w:rsidRDefault="00295A9B" w:rsidP="00E10F8B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 xml:space="preserve">منسق المرحلة الثالثة, الباطنية, </w:t>
            </w:r>
            <w:r w:rsidR="00E10F8B">
              <w:rPr>
                <w:rFonts w:hint="cs"/>
                <w:rtl/>
              </w:rPr>
              <w:t xml:space="preserve">كلية الاسنان. </w:t>
            </w:r>
          </w:p>
          <w:p w:rsidR="00E97041" w:rsidRDefault="00E97041" w:rsidP="00E97041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>الدوام في استشارية و ردهة الامراض المعدية.</w:t>
            </w:r>
          </w:p>
          <w:p w:rsidR="00E97041" w:rsidRDefault="00E97041" w:rsidP="00E97041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 xml:space="preserve">مسؤل شعبة </w:t>
            </w:r>
            <w:r>
              <w:t xml:space="preserve">Infection Control </w:t>
            </w:r>
            <w:r>
              <w:rPr>
                <w:rFonts w:hint="cs"/>
                <w:rtl/>
              </w:rPr>
              <w:t xml:space="preserve"> في مستشفى ازادي التعليمي.</w:t>
            </w:r>
          </w:p>
          <w:p w:rsidR="00295A9B" w:rsidRDefault="00295A9B" w:rsidP="00295A9B">
            <w:pPr>
              <w:pStyle w:val="ListParagraph"/>
              <w:numPr>
                <w:ilvl w:val="0"/>
                <w:numId w:val="8"/>
              </w:num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الدوام في استشارية الامراض الصدرية في مركز السل.</w:t>
            </w:r>
          </w:p>
          <w:p w:rsidR="00E10F8B" w:rsidRDefault="00E10F8B" w:rsidP="00E10F8B">
            <w:pPr>
              <w:pStyle w:val="ListParagraph"/>
              <w:numPr>
                <w:ilvl w:val="0"/>
                <w:numId w:val="8"/>
              </w:num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رئيس لجنة السيطرة على امراض الاسهال المعدي (الكوليرا)</w:t>
            </w:r>
          </w:p>
          <w:p w:rsidR="00E10F8B" w:rsidRDefault="00E10F8B" w:rsidP="00E10F8B">
            <w:pPr>
              <w:pStyle w:val="ListParagraph"/>
              <w:numPr>
                <w:ilvl w:val="0"/>
                <w:numId w:val="8"/>
              </w:num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عضو في لجنة السيطرة على مرض الانفلونزا و اليشمانيا.</w:t>
            </w:r>
          </w:p>
          <w:p w:rsidR="00135CDF" w:rsidRDefault="00135CDF" w:rsidP="00135CDF">
            <w:pPr>
              <w:pStyle w:val="ListParagraph"/>
              <w:numPr>
                <w:ilvl w:val="0"/>
                <w:numId w:val="8"/>
              </w:num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عضو لجنة السيطرة على امراض الجراثيم المقاومة للمضادرات الحيوية.</w:t>
            </w:r>
          </w:p>
          <w:p w:rsidR="00E10F8B" w:rsidRDefault="00E10F8B" w:rsidP="00135CDF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 xml:space="preserve">منسق مؤتمر </w:t>
            </w:r>
            <w:r w:rsidR="00135CDF">
              <w:rPr>
                <w:rFonts w:hint="cs"/>
                <w:rtl/>
              </w:rPr>
              <w:t>النسائية لكلية الطب 2016</w:t>
            </w:r>
          </w:p>
          <w:p w:rsidR="00E97041" w:rsidRPr="00E97041" w:rsidRDefault="00E97041" w:rsidP="00295A9B">
            <w:pPr>
              <w:pStyle w:val="ListParagraph"/>
              <w:bidi/>
              <w:ind w:left="1440"/>
              <w:rPr>
                <w:rtl/>
              </w:rPr>
            </w:pPr>
          </w:p>
          <w:p w:rsidR="00906864" w:rsidRDefault="00906864" w:rsidP="00AF5725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906864" w:rsidRDefault="00906864" w:rsidP="00AF0D8A">
            <w:pPr>
              <w:ind w:left="1080"/>
            </w:pPr>
            <w:r>
              <w:t xml:space="preserve">            </w:t>
            </w:r>
          </w:p>
          <w:p w:rsidR="00AF0D8A" w:rsidRDefault="00530A84" w:rsidP="001E21A3">
            <w:pPr>
              <w:bidi/>
              <w:ind w:left="108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خريج كلية الطب جامعة دهول بدرجة متوسط سنة 1998-1999. </w:t>
            </w:r>
            <w:r w:rsidR="00F13CD3">
              <w:rPr>
                <w:rFonts w:hint="cs"/>
                <w:rtl/>
                <w:lang w:bidi="ar-IQ"/>
              </w:rPr>
              <w:t xml:space="preserve">تم تعيني بمستشفى ئازادي التعليمي لمدة سنتين و من ثم طبيب تدرج في مركز كورا. ثم عملت لمدة سنة و نص في دائرة صحة دول كمسؤل المنظمات الصحية. في سنتة 2004 تم قبولي في </w:t>
            </w:r>
            <w:r w:rsidR="00F13CD3">
              <w:rPr>
                <w:rFonts w:hint="cs"/>
                <w:rtl/>
                <w:lang w:bidi="ar-IQ"/>
              </w:rPr>
              <w:lastRenderedPageBreak/>
              <w:t xml:space="preserve">الدراست العليا ماسجر في </w:t>
            </w:r>
            <w:r w:rsidR="00F13CD3">
              <w:rPr>
                <w:lang w:bidi="ar-IQ"/>
              </w:rPr>
              <w:t xml:space="preserve">(Clinical </w:t>
            </w:r>
            <w:proofErr w:type="spellStart"/>
            <w:r w:rsidR="00F13CD3">
              <w:rPr>
                <w:lang w:bidi="ar-IQ"/>
              </w:rPr>
              <w:t>Microbiolgy</w:t>
            </w:r>
            <w:proofErr w:type="spellEnd"/>
            <w:r w:rsidR="00F13CD3">
              <w:rPr>
                <w:lang w:bidi="ar-IQ"/>
              </w:rPr>
              <w:t>)</w:t>
            </w:r>
            <w:r w:rsidR="00F13CD3">
              <w:rPr>
                <w:rFonts w:hint="cs"/>
                <w:rtl/>
                <w:lang w:bidi="ar-IQ"/>
              </w:rPr>
              <w:t xml:space="preserve"> جامعة نوتنكهام/انكلترا. و من ثم عملت في مستفى ئازادي في قسم السيطرة على الخمج. في سنة 2007 درست الدكتوراه في مجال الامراض المعدية في جامعة دهوك بالتعاون مع جامعة شهيد بهشتي الايرانية و جامعة كوتنبرك السويديةز حصلت على شهادة الدكتوراه في سنة 2011. </w:t>
            </w:r>
            <w:r w:rsidR="00E97041">
              <w:rPr>
                <w:rFonts w:hint="cs"/>
                <w:rtl/>
                <w:lang w:bidi="ar-IQ"/>
              </w:rPr>
              <w:t>و حصلت على شهادة التخصص الدقيق في الامراض المعدية سنة 2014 من جامعة دهوك علما اني اجريت التدريب السرسريري في مستشفى التخصصي لبافي نزاد في طهران التابع لجامعة بهشتي في ايران.الان</w:t>
            </w:r>
            <w:r w:rsidR="00F13CD3">
              <w:rPr>
                <w:rFonts w:hint="cs"/>
                <w:rtl/>
                <w:lang w:bidi="ar-IQ"/>
              </w:rPr>
              <w:t xml:space="preserve"> اعمل كتدريسي في فاكيولتي العلوم الطبية جامعة دهوك و طبيب اختصاص</w:t>
            </w:r>
            <w:r w:rsidR="001E21A3">
              <w:rPr>
                <w:rFonts w:hint="cs"/>
                <w:rtl/>
                <w:lang w:bidi="ar-IQ"/>
              </w:rPr>
              <w:t xml:space="preserve"> دقيق ب</w:t>
            </w:r>
            <w:r w:rsidR="00F13CD3">
              <w:rPr>
                <w:rFonts w:hint="cs"/>
                <w:rtl/>
                <w:lang w:bidi="ar-IQ"/>
              </w:rPr>
              <w:t>الامراض المعدية في مستشفى ئازادي التعليمي.</w:t>
            </w:r>
          </w:p>
          <w:p w:rsidR="00AF0D8A" w:rsidRDefault="00AF0D8A" w:rsidP="00E97041">
            <w:pPr>
              <w:bidi/>
              <w:ind w:left="1080"/>
            </w:pPr>
          </w:p>
          <w:p w:rsidR="00AF0D8A" w:rsidRDefault="00AF0D8A" w:rsidP="00AF0D8A">
            <w:pPr>
              <w:ind w:left="1080"/>
            </w:pPr>
          </w:p>
          <w:p w:rsidR="00F13CD3" w:rsidRDefault="00906864" w:rsidP="00F13CD3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اما عن المشاركة في ورش العمل:- </w:t>
            </w:r>
          </w:p>
          <w:p w:rsidR="00F13CD3" w:rsidRPr="00F13CD3" w:rsidRDefault="00F13CD3" w:rsidP="00DB600E">
            <w:pPr>
              <w:bidi/>
              <w:spacing w:before="120" w:line="360" w:lineRule="exact"/>
              <w:rPr>
                <w:lang w:val="en-GB" w:bidi="ar-IQ"/>
              </w:rPr>
            </w:pPr>
            <w:r>
              <w:rPr>
                <w:rFonts w:hint="cs"/>
                <w:rtl/>
                <w:lang w:val="en-GB" w:bidi="ar-IQ"/>
              </w:rPr>
              <w:t xml:space="preserve">شاركت في عدة ورش عمل </w:t>
            </w:r>
            <w:r w:rsidR="00DB600E">
              <w:rPr>
                <w:rFonts w:hint="cs"/>
                <w:rtl/>
                <w:lang w:val="en-GB" w:bidi="ar-IQ"/>
              </w:rPr>
              <w:t>ك</w:t>
            </w:r>
            <w:r>
              <w:rPr>
                <w:rFonts w:hint="cs"/>
                <w:rtl/>
                <w:lang w:val="en-GB" w:bidi="ar-IQ"/>
              </w:rPr>
              <w:t>ما مذكور اعلاه</w:t>
            </w:r>
            <w:r w:rsidR="00D56268">
              <w:rPr>
                <w:rFonts w:hint="cs"/>
                <w:rtl/>
                <w:lang w:val="en-GB" w:bidi="ar-IQ"/>
              </w:rPr>
              <w:t xml:space="preserve"> (المؤتمرات و الدورات العلمية)</w:t>
            </w:r>
          </w:p>
          <w:p w:rsidR="00AF0D8A" w:rsidRDefault="00AF0D8A" w:rsidP="00AF0D8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906864" w:rsidRDefault="00D56268" w:rsidP="00F17589">
            <w:pPr>
              <w:bidi/>
              <w:spacing w:before="120" w:line="360" w:lineRule="exact"/>
              <w:rPr>
                <w:rtl/>
                <w:lang w:val="en-GB" w:bidi="ar-IQ"/>
              </w:rPr>
            </w:pPr>
            <w:r>
              <w:rPr>
                <w:rFonts w:hint="cs"/>
                <w:rtl/>
                <w:lang w:val="en-GB" w:bidi="ar-IQ"/>
              </w:rPr>
              <w:t>العمل باخلاص و حرص و التخطيط الجيد للتقدم نحو الاحسن</w:t>
            </w:r>
          </w:p>
          <w:p w:rsidR="00D56268" w:rsidRDefault="00D56268" w:rsidP="00D56268">
            <w:pPr>
              <w:bidi/>
              <w:spacing w:before="120" w:line="360" w:lineRule="exact"/>
              <w:rPr>
                <w:rtl/>
                <w:lang w:val="en-GB" w:bidi="ar-IQ"/>
              </w:rPr>
            </w:pPr>
            <w:r>
              <w:rPr>
                <w:rFonts w:hint="cs"/>
                <w:rtl/>
                <w:lang w:val="en-GB" w:bidi="ar-IQ"/>
              </w:rPr>
              <w:t>تحسين و تطوير المستوى الدراسي من الناحية النظرية و العملية</w:t>
            </w:r>
          </w:p>
          <w:p w:rsidR="00D56268" w:rsidRDefault="00D56268" w:rsidP="00D56268">
            <w:pPr>
              <w:bidi/>
              <w:spacing w:before="120" w:line="360" w:lineRule="exact"/>
              <w:rPr>
                <w:rtl/>
                <w:lang w:bidi="ar-IQ"/>
              </w:rPr>
            </w:pPr>
            <w:r>
              <w:rPr>
                <w:rFonts w:hint="cs"/>
                <w:rtl/>
                <w:lang w:val="en-GB" w:bidi="ar-IQ"/>
              </w:rPr>
              <w:t xml:space="preserve">التركيز على الابحاث العلمية و تشجيع النشر في المجلات العلمية العالمية ذو </w:t>
            </w:r>
            <w:r>
              <w:rPr>
                <w:lang w:bidi="ar-IQ"/>
              </w:rPr>
              <w:t>impact factor)</w:t>
            </w:r>
            <w:r>
              <w:rPr>
                <w:rFonts w:hint="cs"/>
                <w:rtl/>
                <w:lang w:bidi="ar-IQ"/>
              </w:rPr>
              <w:t>) و ذللك لتطوير مستوى الجامعة على المستوى الاقليمي و العالمي.</w:t>
            </w:r>
          </w:p>
          <w:p w:rsidR="00D56268" w:rsidRPr="00D56268" w:rsidRDefault="00D56268" w:rsidP="00D56268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D56268" w:rsidRDefault="00D56268" w:rsidP="00295A9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تديس مادة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الباطنية, الامراض المعدية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لطلاب االمرحلة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الثالثة,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اسكول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الطب</w:t>
            </w:r>
          </w:p>
          <w:p w:rsidR="00295A9B" w:rsidRDefault="00295A9B" w:rsidP="00295A9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تديس مادة الباطنية, الامراض المعدية لطلاب االمرحلة الثالثة, اسكول الاسنان</w:t>
            </w:r>
          </w:p>
          <w:p w:rsidR="00D56268" w:rsidRDefault="00D56268" w:rsidP="00D56268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تدريس مادة الباطنية الامراض المعدية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لطلاب المرحلة الثانية و الثالثة, اسكول التقنية الطبية.</w:t>
            </w:r>
          </w:p>
          <w:p w:rsidR="00D56268" w:rsidRDefault="00D56268" w:rsidP="00D56268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</w:p>
          <w:p w:rsidR="00906864" w:rsidRDefault="00584195" w:rsidP="00295A9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عدد طلبة المرحلة الثالثة سكول الطب</w:t>
            </w:r>
            <w:r w:rsidR="003B4AE3">
              <w:rPr>
                <w:rFonts w:hint="cs"/>
                <w:b/>
                <w:bCs/>
                <w:rtl/>
                <w:lang w:bidi="ar-IQ"/>
              </w:rPr>
              <w:t xml:space="preserve"> 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(85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  <w:p w:rsidR="00584195" w:rsidRDefault="00584195" w:rsidP="00295A9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عدد طلبة المرحلة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الثالثة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سكول الاسنان (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35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  <w:p w:rsidR="00295A9B" w:rsidRDefault="00295A9B" w:rsidP="00DA7D54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عدد طلبة المرحلة ا</w:t>
            </w:r>
            <w:r w:rsidR="00DA7D54">
              <w:rPr>
                <w:rFonts w:hint="cs"/>
                <w:b/>
                <w:bCs/>
                <w:rtl/>
                <w:lang w:bidi="ar-IQ"/>
              </w:rPr>
              <w:t>الثالثة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سكول التقنية الطبية (</w:t>
            </w:r>
            <w:r w:rsidR="00DA7D54">
              <w:rPr>
                <w:rFonts w:hint="cs"/>
                <w:b/>
                <w:bCs/>
                <w:rtl/>
                <w:lang w:bidi="ar-IQ"/>
              </w:rPr>
              <w:t>20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  <w:p w:rsidR="00584195" w:rsidRPr="00584195" w:rsidRDefault="00584195" w:rsidP="00295A9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عدد طلبة المرحلة الثانية سكول 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التقنية الطبية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(</w:t>
            </w:r>
            <w:r w:rsidR="00295A9B">
              <w:rPr>
                <w:rFonts w:hint="cs"/>
                <w:b/>
                <w:bCs/>
                <w:rtl/>
                <w:lang w:bidi="ar-IQ"/>
              </w:rPr>
              <w:t>35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tbl>
            <w:tblPr>
              <w:bidiVisual/>
              <w:tblW w:w="19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42"/>
              <w:gridCol w:w="2742"/>
              <w:gridCol w:w="2742"/>
              <w:gridCol w:w="2742"/>
              <w:gridCol w:w="2742"/>
              <w:gridCol w:w="2742"/>
              <w:gridCol w:w="2742"/>
            </w:tblGrid>
            <w:tr w:rsidR="00906864" w:rsidRPr="0077069E" w:rsidTr="003B4AE3">
              <w:trPr>
                <w:gridAfter w:val="3"/>
                <w:wAfter w:w="8226" w:type="dxa"/>
              </w:trPr>
              <w:tc>
                <w:tcPr>
                  <w:tcW w:w="2742" w:type="dxa"/>
                  <w:shd w:val="clear" w:color="auto" w:fill="auto"/>
                </w:tcPr>
                <w:p w:rsidR="00906864" w:rsidRPr="0077069E" w:rsidRDefault="00906864" w:rsidP="00F17589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9C02DB" w:rsidRDefault="00906864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3B4AE3" w:rsidRDefault="00906864" w:rsidP="00DA7D54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3B4AE3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Saturday</w:t>
                  </w:r>
                </w:p>
              </w:tc>
            </w:tr>
            <w:tr w:rsidR="003B4AE3" w:rsidRPr="0077069E" w:rsidTr="003B4AE3">
              <w:tc>
                <w:tcPr>
                  <w:tcW w:w="2742" w:type="dxa"/>
                  <w:shd w:val="clear" w:color="auto" w:fill="auto"/>
                </w:tcPr>
                <w:p w:rsidR="003B4AE3" w:rsidRPr="0077069E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3B4AE3" w:rsidRPr="009C02DB" w:rsidRDefault="00135CDF" w:rsidP="00135CDF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10:30-12:30 Dentistry, Clinical, Third stage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DA7D54" w:rsidRDefault="00DA7D54" w:rsidP="00DA7D54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8:30-9:30</w:t>
                  </w:r>
                </w:p>
                <w:p w:rsidR="003B4AE3" w:rsidRPr="003B4AE3" w:rsidRDefault="00DA7D54" w:rsidP="00135CDF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Infectious Diseases </w:t>
                  </w:r>
                  <w:r w:rsidR="00F17589">
                    <w:rPr>
                      <w:b/>
                      <w:bCs/>
                      <w:sz w:val="28"/>
                      <w:szCs w:val="28"/>
                      <w:lang w:bidi="ar-IQ"/>
                    </w:rPr>
                    <w:t>Dentistry</w:t>
                  </w:r>
                  <w:r w:rsidR="003B4AE3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, </w:t>
                  </w:r>
                  <w:r w:rsidR="00135CDF">
                    <w:rPr>
                      <w:b/>
                      <w:bCs/>
                      <w:sz w:val="28"/>
                      <w:szCs w:val="28"/>
                      <w:lang w:bidi="ar-IQ"/>
                    </w:rPr>
                    <w:t>Third</w:t>
                  </w:r>
                  <w:r w:rsidR="003B4AE3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stage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3B4AE3" w:rsidRPr="003B4AE3" w:rsidRDefault="003B4AE3" w:rsidP="003B4AE3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Sunday</w:t>
                  </w:r>
                </w:p>
              </w:tc>
              <w:tc>
                <w:tcPr>
                  <w:tcW w:w="2742" w:type="dxa"/>
                </w:tcPr>
                <w:p w:rsidR="003B4AE3" w:rsidRPr="009C02DB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2742" w:type="dxa"/>
                </w:tcPr>
                <w:p w:rsidR="003B4AE3" w:rsidRPr="003B4AE3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9:30-10:30 Pharmacy, second stage</w:t>
                  </w:r>
                </w:p>
              </w:tc>
              <w:tc>
                <w:tcPr>
                  <w:tcW w:w="2742" w:type="dxa"/>
                </w:tcPr>
                <w:p w:rsidR="003B4AE3" w:rsidRPr="003B4AE3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Sunday</w:t>
                  </w:r>
                </w:p>
              </w:tc>
            </w:tr>
            <w:tr w:rsidR="003B4AE3" w:rsidRPr="0077069E" w:rsidTr="003B4AE3">
              <w:trPr>
                <w:gridAfter w:val="3"/>
                <w:wAfter w:w="8226" w:type="dxa"/>
              </w:trPr>
              <w:tc>
                <w:tcPr>
                  <w:tcW w:w="2742" w:type="dxa"/>
                  <w:shd w:val="clear" w:color="auto" w:fill="auto"/>
                </w:tcPr>
                <w:p w:rsidR="003B4AE3" w:rsidRPr="0077069E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3B4AE3" w:rsidRPr="009C02DB" w:rsidRDefault="001E21A3" w:rsidP="00135CDF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1</w:t>
                  </w:r>
                  <w:r w:rsidR="00135CDF">
                    <w:rPr>
                      <w:b/>
                      <w:bCs/>
                      <w:sz w:val="28"/>
                      <w:szCs w:val="28"/>
                      <w:lang w:bidi="ar-IQ"/>
                    </w:rPr>
                    <w:t>2</w:t>
                  </w: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:30-1:30 Medical </w:t>
                  </w:r>
                  <w:r w:rsidR="00135CDF">
                    <w:rPr>
                      <w:b/>
                      <w:bCs/>
                      <w:sz w:val="28"/>
                      <w:szCs w:val="28"/>
                      <w:lang w:bidi="ar-IQ"/>
                    </w:rPr>
                    <w:t>college</w:t>
                  </w: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, </w:t>
                  </w:r>
                  <w:r w:rsidR="00135CDF">
                    <w:rPr>
                      <w:b/>
                      <w:bCs/>
                      <w:sz w:val="28"/>
                      <w:szCs w:val="28"/>
                      <w:lang w:bidi="ar-IQ"/>
                    </w:rPr>
                    <w:t>theory</w:t>
                  </w: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, Third stage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3B4AE3" w:rsidRPr="003B4AE3" w:rsidRDefault="003B4AE3" w:rsidP="00135CDF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3B4AE3" w:rsidRPr="003B4AE3" w:rsidRDefault="003B4AE3" w:rsidP="00F17589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Wednesday</w:t>
                  </w:r>
                </w:p>
              </w:tc>
            </w:tr>
          </w:tbl>
          <w:p w:rsidR="00906864" w:rsidRPr="00C3489A" w:rsidRDefault="00906864" w:rsidP="00F17589">
            <w:pPr>
              <w:bidi/>
              <w:spacing w:before="120" w:line="360" w:lineRule="exact"/>
              <w:jc w:val="center"/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lastRenderedPageBreak/>
              <w:t>النشاطات الاخرى مثل العضوية في لجان علمية او ادارية :-</w:t>
            </w:r>
          </w:p>
          <w:p w:rsidR="00135CDF" w:rsidRDefault="00135CDF" w:rsidP="00CA662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Acting Dean, College of Nursing, University of </w:t>
            </w:r>
            <w:proofErr w:type="spellStart"/>
            <w:r>
              <w:rPr>
                <w:b/>
                <w:bCs/>
                <w:lang w:bidi="ar-IQ"/>
              </w:rPr>
              <w:t>Duhok</w:t>
            </w:r>
            <w:proofErr w:type="spellEnd"/>
          </w:p>
          <w:p w:rsidR="00504FE7" w:rsidRDefault="00504FE7" w:rsidP="00CA662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Editorial Board: International Journal of </w:t>
            </w:r>
            <w:proofErr w:type="spellStart"/>
            <w:r>
              <w:rPr>
                <w:b/>
                <w:bCs/>
                <w:lang w:bidi="ar-IQ"/>
              </w:rPr>
              <w:t>Mycobacteriology</w:t>
            </w:r>
            <w:proofErr w:type="spellEnd"/>
            <w:r w:rsidR="00CA6623">
              <w:rPr>
                <w:b/>
                <w:bCs/>
                <w:lang w:bidi="ar-IQ"/>
              </w:rPr>
              <w:t>.</w:t>
            </w:r>
          </w:p>
          <w:p w:rsidR="000C45B3" w:rsidRDefault="000C45B3" w:rsidP="00135CDF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Coordinator</w:t>
            </w:r>
            <w:r w:rsidR="00135CDF">
              <w:rPr>
                <w:b/>
                <w:bCs/>
                <w:lang w:bidi="ar-IQ"/>
              </w:rPr>
              <w:t xml:space="preserve"> of Medicine</w:t>
            </w:r>
            <w:r>
              <w:rPr>
                <w:b/>
                <w:bCs/>
                <w:lang w:bidi="ar-IQ"/>
              </w:rPr>
              <w:t xml:space="preserve">, </w:t>
            </w:r>
            <w:r w:rsidR="00135CDF">
              <w:rPr>
                <w:b/>
                <w:bCs/>
                <w:lang w:bidi="ar-IQ"/>
              </w:rPr>
              <w:t>Dentistry</w:t>
            </w:r>
            <w:r>
              <w:rPr>
                <w:b/>
                <w:bCs/>
                <w:lang w:bidi="ar-IQ"/>
              </w:rPr>
              <w:t xml:space="preserve">, Third Year. </w:t>
            </w:r>
          </w:p>
          <w:p w:rsidR="00CA6623" w:rsidRDefault="00CA6623" w:rsidP="00CA662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Infectiou</w:t>
            </w:r>
            <w:r w:rsidR="00E42876">
              <w:rPr>
                <w:b/>
                <w:bCs/>
                <w:lang w:bidi="ar-IQ"/>
              </w:rPr>
              <w:t xml:space="preserve">s diseases consultation, </w:t>
            </w:r>
            <w:proofErr w:type="spellStart"/>
            <w:r w:rsidR="00E42876">
              <w:rPr>
                <w:b/>
                <w:bCs/>
                <w:lang w:bidi="ar-IQ"/>
              </w:rPr>
              <w:t>Azadi</w:t>
            </w:r>
            <w:proofErr w:type="spellEnd"/>
            <w:r w:rsidR="00E42876">
              <w:rPr>
                <w:b/>
                <w:bCs/>
                <w:lang w:bidi="ar-IQ"/>
              </w:rPr>
              <w:t xml:space="preserve"> T</w:t>
            </w:r>
            <w:r>
              <w:rPr>
                <w:b/>
                <w:bCs/>
                <w:lang w:bidi="ar-IQ"/>
              </w:rPr>
              <w:t>eaching Hospital.</w:t>
            </w:r>
          </w:p>
          <w:p w:rsidR="000A31BE" w:rsidRDefault="001E21A3" w:rsidP="001E21A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Director, </w:t>
            </w:r>
            <w:r w:rsidR="000A31BE">
              <w:rPr>
                <w:b/>
                <w:bCs/>
                <w:lang w:bidi="ar-IQ"/>
              </w:rPr>
              <w:t xml:space="preserve">Infection Control </w:t>
            </w:r>
            <w:r>
              <w:rPr>
                <w:b/>
                <w:bCs/>
                <w:lang w:bidi="ar-IQ"/>
              </w:rPr>
              <w:t>Unit</w:t>
            </w:r>
            <w:r w:rsidR="000A31BE">
              <w:rPr>
                <w:b/>
                <w:bCs/>
                <w:lang w:bidi="ar-IQ"/>
              </w:rPr>
              <w:t xml:space="preserve"> of </w:t>
            </w:r>
            <w:proofErr w:type="spellStart"/>
            <w:r w:rsidR="000A31BE">
              <w:rPr>
                <w:b/>
                <w:bCs/>
                <w:lang w:bidi="ar-IQ"/>
              </w:rPr>
              <w:t>Azadi</w:t>
            </w:r>
            <w:proofErr w:type="spellEnd"/>
            <w:r w:rsidR="000A31BE">
              <w:rPr>
                <w:b/>
                <w:bCs/>
                <w:lang w:bidi="ar-IQ"/>
              </w:rPr>
              <w:t xml:space="preserve"> Teaching Hospital</w:t>
            </w:r>
            <w:r w:rsidR="00CA6623">
              <w:rPr>
                <w:b/>
                <w:bCs/>
                <w:lang w:bidi="ar-IQ"/>
              </w:rPr>
              <w:t>.</w:t>
            </w:r>
          </w:p>
          <w:p w:rsidR="00E42876" w:rsidRDefault="00E42876" w:rsidP="001E21A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Head of swine influenza committee at </w:t>
            </w:r>
            <w:proofErr w:type="spellStart"/>
            <w:r>
              <w:rPr>
                <w:b/>
                <w:bCs/>
                <w:lang w:bidi="ar-IQ"/>
              </w:rPr>
              <w:t>Azadi</w:t>
            </w:r>
            <w:proofErr w:type="spellEnd"/>
            <w:r>
              <w:rPr>
                <w:b/>
                <w:bCs/>
                <w:lang w:bidi="ar-IQ"/>
              </w:rPr>
              <w:t xml:space="preserve"> Teaching Hospital.</w:t>
            </w:r>
          </w:p>
          <w:p w:rsidR="00E42876" w:rsidRDefault="00E42876" w:rsidP="001E21A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Head of diarrheal disease committee at </w:t>
            </w:r>
            <w:proofErr w:type="spellStart"/>
            <w:r>
              <w:rPr>
                <w:b/>
                <w:bCs/>
                <w:lang w:bidi="ar-IQ"/>
              </w:rPr>
              <w:t>Azadi</w:t>
            </w:r>
            <w:proofErr w:type="spellEnd"/>
            <w:r>
              <w:rPr>
                <w:b/>
                <w:bCs/>
                <w:lang w:bidi="ar-IQ"/>
              </w:rPr>
              <w:t xml:space="preserve"> Teaching Hospital.</w:t>
            </w:r>
          </w:p>
          <w:p w:rsidR="00135CDF" w:rsidRDefault="000A31BE" w:rsidP="00135CDF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Antibiotic Committee of </w:t>
            </w:r>
            <w:proofErr w:type="spellStart"/>
            <w:r>
              <w:rPr>
                <w:b/>
                <w:bCs/>
                <w:lang w:bidi="ar-IQ"/>
              </w:rPr>
              <w:t>Azadi</w:t>
            </w:r>
            <w:proofErr w:type="spellEnd"/>
            <w:r>
              <w:rPr>
                <w:b/>
                <w:bCs/>
                <w:lang w:bidi="ar-IQ"/>
              </w:rPr>
              <w:t xml:space="preserve"> Teaching Hospital</w:t>
            </w:r>
            <w:r w:rsidR="00CA6623">
              <w:rPr>
                <w:b/>
                <w:bCs/>
                <w:lang w:bidi="ar-IQ"/>
              </w:rPr>
              <w:t>.</w:t>
            </w:r>
          </w:p>
          <w:p w:rsidR="00135CDF" w:rsidRPr="00135CDF" w:rsidRDefault="00135CDF" w:rsidP="00135CDF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  <w:r w:rsidRPr="00135CDF">
              <w:rPr>
                <w:b/>
                <w:bCs/>
                <w:szCs w:val="20"/>
              </w:rPr>
              <w:t xml:space="preserve">Member of organization committee, The first scientific conference on gynecology and </w:t>
            </w:r>
            <w:proofErr w:type="spellStart"/>
            <w:r w:rsidRPr="00135CDF">
              <w:rPr>
                <w:b/>
                <w:bCs/>
                <w:szCs w:val="20"/>
              </w:rPr>
              <w:t>obstertrics</w:t>
            </w:r>
            <w:proofErr w:type="spellEnd"/>
            <w:r w:rsidRPr="00135CDF">
              <w:rPr>
                <w:b/>
                <w:bCs/>
                <w:szCs w:val="20"/>
              </w:rPr>
              <w:t xml:space="preserve">, College of Medicine, University of </w:t>
            </w:r>
            <w:proofErr w:type="spellStart"/>
            <w:r w:rsidRPr="00135CDF">
              <w:rPr>
                <w:b/>
                <w:bCs/>
                <w:szCs w:val="20"/>
              </w:rPr>
              <w:t>Duhok</w:t>
            </w:r>
            <w:proofErr w:type="spellEnd"/>
            <w:r w:rsidRPr="00135CDF">
              <w:rPr>
                <w:b/>
                <w:bCs/>
                <w:szCs w:val="20"/>
              </w:rPr>
              <w:t>, 17-18 April 2016</w:t>
            </w:r>
            <w:r>
              <w:rPr>
                <w:b/>
                <w:bCs/>
                <w:szCs w:val="20"/>
              </w:rPr>
              <w:t>.</w:t>
            </w:r>
          </w:p>
          <w:p w:rsidR="00135CDF" w:rsidRPr="00135CDF" w:rsidRDefault="00135CDF" w:rsidP="00135CDF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</w:p>
          <w:p w:rsidR="00135CDF" w:rsidRPr="00135CDF" w:rsidRDefault="00135CDF" w:rsidP="001E21A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</w:p>
          <w:p w:rsidR="00CA6623" w:rsidRPr="00504FE7" w:rsidRDefault="00CA6623" w:rsidP="00CA6623">
            <w:pPr>
              <w:spacing w:before="120" w:line="360" w:lineRule="exact"/>
              <w:jc w:val="both"/>
              <w:rPr>
                <w:b/>
                <w:bCs/>
                <w:lang w:bidi="ar-IQ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F17589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DF7F5F" w:rsidRDefault="00906864" w:rsidP="00F17589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187C49" w:rsidRDefault="00906864" w:rsidP="00F1758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906864" w:rsidRPr="00326858" w:rsidRDefault="00906864" w:rsidP="00F61377">
      <w:pPr>
        <w:rPr>
          <w:szCs w:val="18"/>
        </w:rPr>
      </w:pPr>
    </w:p>
    <w:sectPr w:rsidR="00906864" w:rsidRPr="00326858" w:rsidSect="00F17589">
      <w:pgSz w:w="11909" w:h="16834" w:code="9"/>
      <w:pgMar w:top="426" w:right="576" w:bottom="0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22F" w:rsidRDefault="0085022F" w:rsidP="00C71EE3">
      <w:r>
        <w:separator/>
      </w:r>
    </w:p>
  </w:endnote>
  <w:endnote w:type="continuationSeparator" w:id="0">
    <w:p w:rsidR="0085022F" w:rsidRDefault="0085022F" w:rsidP="00C7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lloon XBd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22F" w:rsidRDefault="0085022F" w:rsidP="00C71EE3">
      <w:r>
        <w:separator/>
      </w:r>
    </w:p>
  </w:footnote>
  <w:footnote w:type="continuationSeparator" w:id="0">
    <w:p w:rsidR="0085022F" w:rsidRDefault="0085022F" w:rsidP="00C7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703"/>
    <w:multiLevelType w:val="hybridMultilevel"/>
    <w:tmpl w:val="7DCEE14A"/>
    <w:lvl w:ilvl="0" w:tplc="E9BA38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66D37"/>
    <w:multiLevelType w:val="hybridMultilevel"/>
    <w:tmpl w:val="67DE1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4C081911"/>
    <w:multiLevelType w:val="hybridMultilevel"/>
    <w:tmpl w:val="67DE1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702E6A27"/>
    <w:multiLevelType w:val="hybridMultilevel"/>
    <w:tmpl w:val="945C28B2"/>
    <w:lvl w:ilvl="0" w:tplc="0A06C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864"/>
    <w:rsid w:val="000471BB"/>
    <w:rsid w:val="0008752A"/>
    <w:rsid w:val="000A31BE"/>
    <w:rsid w:val="000C45B3"/>
    <w:rsid w:val="000F5EA8"/>
    <w:rsid w:val="000F5F8F"/>
    <w:rsid w:val="00116970"/>
    <w:rsid w:val="00135CDF"/>
    <w:rsid w:val="00147123"/>
    <w:rsid w:val="001857BB"/>
    <w:rsid w:val="001C244A"/>
    <w:rsid w:val="001E21A3"/>
    <w:rsid w:val="00213D9B"/>
    <w:rsid w:val="0024659B"/>
    <w:rsid w:val="00272B7A"/>
    <w:rsid w:val="00295A9B"/>
    <w:rsid w:val="002A6BFF"/>
    <w:rsid w:val="003670DD"/>
    <w:rsid w:val="003B3680"/>
    <w:rsid w:val="003B4AE3"/>
    <w:rsid w:val="003B59E6"/>
    <w:rsid w:val="00432A19"/>
    <w:rsid w:val="004B528F"/>
    <w:rsid w:val="00504FE7"/>
    <w:rsid w:val="00530A84"/>
    <w:rsid w:val="005527F4"/>
    <w:rsid w:val="00584195"/>
    <w:rsid w:val="005B6BE4"/>
    <w:rsid w:val="00612E89"/>
    <w:rsid w:val="00627B5B"/>
    <w:rsid w:val="006E5BD6"/>
    <w:rsid w:val="00736606"/>
    <w:rsid w:val="00764F3D"/>
    <w:rsid w:val="00776071"/>
    <w:rsid w:val="007C56A2"/>
    <w:rsid w:val="007F4AB9"/>
    <w:rsid w:val="00821C62"/>
    <w:rsid w:val="008333BA"/>
    <w:rsid w:val="00837F8C"/>
    <w:rsid w:val="00842E86"/>
    <w:rsid w:val="0085022F"/>
    <w:rsid w:val="008D3A97"/>
    <w:rsid w:val="00906864"/>
    <w:rsid w:val="009C7C93"/>
    <w:rsid w:val="00A566AD"/>
    <w:rsid w:val="00AF0672"/>
    <w:rsid w:val="00AF0D8A"/>
    <w:rsid w:val="00AF5725"/>
    <w:rsid w:val="00B023DF"/>
    <w:rsid w:val="00B03FC1"/>
    <w:rsid w:val="00B14A6A"/>
    <w:rsid w:val="00B41698"/>
    <w:rsid w:val="00B42180"/>
    <w:rsid w:val="00B96D6B"/>
    <w:rsid w:val="00BE0AA9"/>
    <w:rsid w:val="00BF4B3C"/>
    <w:rsid w:val="00C71EE3"/>
    <w:rsid w:val="00CA6623"/>
    <w:rsid w:val="00CF3DF2"/>
    <w:rsid w:val="00D416F0"/>
    <w:rsid w:val="00D56268"/>
    <w:rsid w:val="00DA7D54"/>
    <w:rsid w:val="00DB0705"/>
    <w:rsid w:val="00DB600E"/>
    <w:rsid w:val="00DC0566"/>
    <w:rsid w:val="00E10F8B"/>
    <w:rsid w:val="00E42876"/>
    <w:rsid w:val="00E97041"/>
    <w:rsid w:val="00EB1C94"/>
    <w:rsid w:val="00ED2291"/>
    <w:rsid w:val="00EE30B4"/>
    <w:rsid w:val="00EE5291"/>
    <w:rsid w:val="00EF7BA0"/>
    <w:rsid w:val="00F13CD3"/>
    <w:rsid w:val="00F17589"/>
    <w:rsid w:val="00F306C6"/>
    <w:rsid w:val="00F61377"/>
    <w:rsid w:val="00F854AE"/>
    <w:rsid w:val="00FE2BCB"/>
    <w:rsid w:val="00FF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6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6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EF7BA0"/>
    <w:rPr>
      <w:color w:val="0000FF"/>
      <w:u w:val="single"/>
    </w:rPr>
  </w:style>
  <w:style w:type="paragraph" w:styleId="NoSpacing">
    <w:name w:val="No Spacing"/>
    <w:uiPriority w:val="1"/>
    <w:qFormat/>
    <w:rsid w:val="00EF7BA0"/>
    <w:pPr>
      <w:spacing w:after="0" w:line="240" w:lineRule="auto"/>
    </w:pPr>
    <w:rPr>
      <w:rFonts w:ascii="Calibri" w:eastAsia="Calibri" w:hAnsi="Calibri" w:cs="Arial"/>
      <w:lang w:val="en-GB"/>
    </w:rPr>
  </w:style>
  <w:style w:type="paragraph" w:customStyle="1" w:styleId="citation">
    <w:name w:val="citation"/>
    <w:basedOn w:val="Normal"/>
    <w:rsid w:val="00EF7BA0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EF7BA0"/>
  </w:style>
  <w:style w:type="paragraph" w:customStyle="1" w:styleId="desc">
    <w:name w:val="desc"/>
    <w:basedOn w:val="Normal"/>
    <w:rsid w:val="00504FE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504FE7"/>
    <w:pPr>
      <w:jc w:val="center"/>
    </w:pPr>
    <w:rPr>
      <w:rFonts w:ascii="Balloon XBd BT" w:hAnsi="Balloon XBd BT"/>
      <w:noProof/>
      <w:sz w:val="38"/>
      <w:szCs w:val="38"/>
      <w:u w:val="single"/>
      <w:lang w:bidi="ar-IQ"/>
    </w:rPr>
  </w:style>
  <w:style w:type="character" w:customStyle="1" w:styleId="TitleChar">
    <w:name w:val="Title Char"/>
    <w:basedOn w:val="DefaultParagraphFont"/>
    <w:link w:val="Title"/>
    <w:rsid w:val="00504FE7"/>
    <w:rPr>
      <w:rFonts w:ascii="Balloon XBd BT" w:eastAsia="Times New Roman" w:hAnsi="Balloon XBd BT" w:cs="Times New Roman"/>
      <w:noProof/>
      <w:sz w:val="38"/>
      <w:szCs w:val="38"/>
      <w:u w:val="single"/>
      <w:lang w:bidi="ar-IQ"/>
    </w:rPr>
  </w:style>
  <w:style w:type="character" w:customStyle="1" w:styleId="highlight">
    <w:name w:val="highlight"/>
    <w:basedOn w:val="DefaultParagraphFont"/>
    <w:rsid w:val="00504FE7"/>
  </w:style>
  <w:style w:type="paragraph" w:customStyle="1" w:styleId="desc2">
    <w:name w:val="desc2"/>
    <w:basedOn w:val="Normal"/>
    <w:rsid w:val="00842E86"/>
    <w:rPr>
      <w:sz w:val="26"/>
      <w:szCs w:val="26"/>
    </w:rPr>
  </w:style>
  <w:style w:type="character" w:styleId="Strong">
    <w:name w:val="Strong"/>
    <w:basedOn w:val="DefaultParagraphFont"/>
    <w:uiPriority w:val="22"/>
    <w:qFormat/>
    <w:rsid w:val="00842E86"/>
    <w:rPr>
      <w:b/>
      <w:bCs/>
    </w:rPr>
  </w:style>
  <w:style w:type="character" w:styleId="Emphasis">
    <w:name w:val="Emphasis"/>
    <w:basedOn w:val="DefaultParagraphFont"/>
    <w:uiPriority w:val="20"/>
    <w:qFormat/>
    <w:rsid w:val="00842E86"/>
    <w:rPr>
      <w:i/>
      <w:iCs/>
    </w:rPr>
  </w:style>
  <w:style w:type="paragraph" w:styleId="ListParagraph">
    <w:name w:val="List Paragraph"/>
    <w:basedOn w:val="Normal"/>
    <w:uiPriority w:val="34"/>
    <w:qFormat/>
    <w:rsid w:val="003B5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iencedirect.com/science/article/pii/S2212553112000696" TargetMode="External"/><Relationship Id="rId18" Type="http://schemas.openxmlformats.org/officeDocument/2006/relationships/hyperlink" Target="http://www.ncbi.nlm.nih.gov/pubmed?term=%22Merza%20MA%22%5BAuthor%5D" TargetMode="External"/><Relationship Id="rId26" Type="http://schemas.openxmlformats.org/officeDocument/2006/relationships/hyperlink" Target="http://www.ncbi.nlm.nih.gov/pubmed?term=%22Masjedi%20MR%22%5BAuthor%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?term=%22Ibrahim%20TA%22%5BAuthor%5D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ncbi.nlm.nih.gov/pubmed/23432983" TargetMode="External"/><Relationship Id="rId17" Type="http://schemas.openxmlformats.org/officeDocument/2006/relationships/hyperlink" Target="http://www.ncbi.nlm.nih.gov/pubmed?term=%22Mohammad%20RM%22%5BAuthor%5D" TargetMode="External"/><Relationship Id="rId25" Type="http://schemas.openxmlformats.org/officeDocument/2006/relationships/hyperlink" Target="http://www.ncbi.nlm.nih.gov/pubmed?term=%22Farnia%20P%22%5BAuthor%5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Farnia%20P%22%5BAuthor%5D" TargetMode="External"/><Relationship Id="rId20" Type="http://schemas.openxmlformats.org/officeDocument/2006/relationships/hyperlink" Target="http://www.ncbi.nlm.nih.gov/pubmed?term=%22Zhavnerko%20GK%22%5BAuthor%5D" TargetMode="External"/><Relationship Id="rId29" Type="http://schemas.openxmlformats.org/officeDocument/2006/relationships/hyperlink" Target="http://www.ncbi.nlm.nih.gov/pubmed?term=%22Ghanavi%20J%22%5BAuthor%5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aasm.com/article/S2212-5531(13)00057-5/abstract" TargetMode="External"/><Relationship Id="rId24" Type="http://schemas.openxmlformats.org/officeDocument/2006/relationships/hyperlink" Target="http://www.ncbi.nlm.nih.gov/pubmed?term=%22Velayati%20AA%22%5BAuthor%5D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AL_get(this,%20'jour',%20'Int%20J%20Tuberc%20Lung%20Dis.');" TargetMode="External"/><Relationship Id="rId23" Type="http://schemas.openxmlformats.org/officeDocument/2006/relationships/hyperlink" Target="http://www.ncbi.nlm.nih.gov/pubmed/21119210" TargetMode="External"/><Relationship Id="rId28" Type="http://schemas.openxmlformats.org/officeDocument/2006/relationships/hyperlink" Target="http://www.ncbi.nlm.nih.gov/pubmed?term=%22Merza%20MA%22%5BAuthor%5D" TargetMode="External"/><Relationship Id="rId10" Type="http://schemas.openxmlformats.org/officeDocument/2006/relationships/hyperlink" Target="http://www.ncbi.nlm.nih.gov/pubmed/25863529" TargetMode="External"/><Relationship Id="rId19" Type="http://schemas.openxmlformats.org/officeDocument/2006/relationships/hyperlink" Target="http://www.ncbi.nlm.nih.gov/pubmed?term=%22Tabarsi%20P%22%5BAuthor%5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6787580" TargetMode="External"/><Relationship Id="rId14" Type="http://schemas.openxmlformats.org/officeDocument/2006/relationships/hyperlink" Target="http://www.ncbi.nlm.nih.gov/pubmed/20551642" TargetMode="External"/><Relationship Id="rId22" Type="http://schemas.openxmlformats.org/officeDocument/2006/relationships/hyperlink" Target="javascript:AL_get(this,%20'jour',%20'J%20Infect%20Public%20Health.');" TargetMode="External"/><Relationship Id="rId27" Type="http://schemas.openxmlformats.org/officeDocument/2006/relationships/hyperlink" Target="http://www.ncbi.nlm.nih.gov/pubmed?term=%22Zhavnerko%20GK%22%5BAuthor%5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</dc:creator>
  <cp:lastModifiedBy>Rasan</cp:lastModifiedBy>
  <cp:revision>34</cp:revision>
  <cp:lastPrinted>2015-06-08T19:54:00Z</cp:lastPrinted>
  <dcterms:created xsi:type="dcterms:W3CDTF">2012-06-28T05:43:00Z</dcterms:created>
  <dcterms:modified xsi:type="dcterms:W3CDTF">2016-03-01T20:03:00Z</dcterms:modified>
</cp:coreProperties>
</file>